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4C4" w:rsidRPr="00AD4F05" w:rsidRDefault="006544C4" w:rsidP="00907825">
      <w:pPr>
        <w:jc w:val="center"/>
        <w:rPr>
          <w:lang w:val="fr-FR"/>
        </w:rPr>
      </w:pPr>
      <w:bookmarkStart w:id="0" w:name="_GoBack"/>
      <w:bookmarkEnd w:id="0"/>
    </w:p>
    <w:p w:rsidR="006544C4" w:rsidRPr="00AD4F05" w:rsidRDefault="006544C4" w:rsidP="00907825">
      <w:pPr>
        <w:jc w:val="center"/>
        <w:rPr>
          <w:lang w:val="fr-FR"/>
        </w:rPr>
      </w:pPr>
    </w:p>
    <w:p w:rsidR="006544C4" w:rsidRPr="00AD4F05" w:rsidRDefault="00E8459A" w:rsidP="00907825">
      <w:pPr>
        <w:pStyle w:val="DecHTitle"/>
        <w:rPr>
          <w:lang w:val="fr-FR"/>
        </w:rPr>
      </w:pPr>
      <w:r>
        <w:rPr>
          <w:szCs w:val="24"/>
          <w:lang w:val="fr-FR"/>
        </w:rPr>
        <w:t>QUATRIÈME SECTION</w:t>
      </w:r>
    </w:p>
    <w:p w:rsidR="006544C4" w:rsidRPr="00AD4F05" w:rsidRDefault="006544C4" w:rsidP="00907825">
      <w:pPr>
        <w:pStyle w:val="DecHTitle"/>
        <w:rPr>
          <w:caps/>
          <w:sz w:val="32"/>
          <w:lang w:val="fr-FR"/>
        </w:rPr>
      </w:pPr>
      <w:r w:rsidRPr="00AD4F05">
        <w:rPr>
          <w:lang w:val="fr-FR"/>
        </w:rPr>
        <w:t>DÉCISION</w:t>
      </w:r>
    </w:p>
    <w:p w:rsidR="006544C4" w:rsidRPr="00AD4F05" w:rsidRDefault="00E8459A" w:rsidP="00907825">
      <w:pPr>
        <w:pStyle w:val="ECHRTitleCentre2"/>
        <w:rPr>
          <w:lang w:val="fr-FR"/>
        </w:rPr>
      </w:pPr>
      <w:r w:rsidRPr="00AD4F05">
        <w:rPr>
          <w:lang w:val="fr-FR"/>
        </w:rPr>
        <w:t>Requête n</w:t>
      </w:r>
      <w:r w:rsidRPr="00AD4F05">
        <w:rPr>
          <w:vertAlign w:val="superscript"/>
          <w:lang w:val="fr-FR"/>
        </w:rPr>
        <w:t>o</w:t>
      </w:r>
      <w:r w:rsidR="006544C4" w:rsidRPr="00AD4F05">
        <w:rPr>
          <w:lang w:val="fr-FR"/>
        </w:rPr>
        <w:t xml:space="preserve"> </w:t>
      </w:r>
      <w:r>
        <w:rPr>
          <w:lang w:val="fr-FR"/>
        </w:rPr>
        <w:t>5159/14</w:t>
      </w:r>
      <w:r w:rsidR="006544C4" w:rsidRPr="00AD4F05">
        <w:rPr>
          <w:lang w:val="fr-FR"/>
        </w:rPr>
        <w:br/>
      </w:r>
      <w:r>
        <w:rPr>
          <w:lang w:val="fr-FR"/>
        </w:rPr>
        <w:t>WIND TELECOMUNICAZIONI S.P.A.</w:t>
      </w:r>
      <w:r w:rsidRPr="00AD4F05">
        <w:rPr>
          <w:lang w:val="fr-FR"/>
        </w:rPr>
        <w:br/>
      </w:r>
      <w:r w:rsidR="006544C4" w:rsidRPr="00AD4F05">
        <w:rPr>
          <w:lang w:val="fr-FR"/>
        </w:rPr>
        <w:t xml:space="preserve">contre </w:t>
      </w:r>
      <w:r w:rsidRPr="00AD4F05">
        <w:rPr>
          <w:lang w:val="fr-FR"/>
        </w:rPr>
        <w:t>l</w:t>
      </w:r>
      <w:r w:rsidR="000C4516">
        <w:rPr>
          <w:lang w:val="fr-FR"/>
        </w:rPr>
        <w:t>’</w:t>
      </w:r>
      <w:r>
        <w:rPr>
          <w:lang w:val="fr-FR"/>
        </w:rPr>
        <w:t>Italie</w:t>
      </w:r>
    </w:p>
    <w:p w:rsidR="00E8459A" w:rsidRPr="0072720E" w:rsidRDefault="00E8459A" w:rsidP="00270BD2">
      <w:pPr>
        <w:pStyle w:val="ECHRPara"/>
        <w:rPr>
          <w:lang w:val="fr-FR"/>
        </w:rPr>
      </w:pPr>
      <w:r w:rsidRPr="0072720E">
        <w:rPr>
          <w:lang w:val="fr-FR"/>
        </w:rPr>
        <w:t>La Cour européenne des droits de l</w:t>
      </w:r>
      <w:r w:rsidR="000C4516">
        <w:rPr>
          <w:lang w:val="fr-FR"/>
        </w:rPr>
        <w:t>’</w:t>
      </w:r>
      <w:r w:rsidRPr="0072720E">
        <w:rPr>
          <w:lang w:val="fr-FR"/>
        </w:rPr>
        <w:t>homme (</w:t>
      </w:r>
      <w:r>
        <w:rPr>
          <w:lang w:val="fr-FR"/>
        </w:rPr>
        <w:t>quatrième section</w:t>
      </w:r>
      <w:r w:rsidRPr="0072720E">
        <w:rPr>
          <w:lang w:val="fr-FR"/>
        </w:rPr>
        <w:t xml:space="preserve">), siégeant le </w:t>
      </w:r>
      <w:r>
        <w:rPr>
          <w:lang w:val="fr-FR"/>
        </w:rPr>
        <w:t>8 septembre 2015</w:t>
      </w:r>
      <w:r w:rsidRPr="0072720E">
        <w:rPr>
          <w:lang w:val="fr-FR"/>
        </w:rPr>
        <w:t xml:space="preserve"> en une </w:t>
      </w:r>
      <w:r>
        <w:rPr>
          <w:lang w:val="fr-FR"/>
        </w:rPr>
        <w:t>Chambre</w:t>
      </w:r>
      <w:r w:rsidRPr="0072720E">
        <w:rPr>
          <w:lang w:val="fr-FR"/>
        </w:rPr>
        <w:t xml:space="preserve"> composée de :</w:t>
      </w:r>
    </w:p>
    <w:p w:rsidR="00E8459A" w:rsidRPr="00E8459A" w:rsidRDefault="00E8459A" w:rsidP="000C4516">
      <w:pPr>
        <w:pStyle w:val="ECHRDecisionBody"/>
        <w:rPr>
          <w:lang w:val="fr-FR"/>
        </w:rPr>
      </w:pPr>
      <w:r w:rsidRPr="00E8459A">
        <w:rPr>
          <w:lang w:val="fr-FR"/>
        </w:rPr>
        <w:tab/>
        <w:t>Päivi Hirvelä,</w:t>
      </w:r>
      <w:r w:rsidRPr="00E8459A">
        <w:rPr>
          <w:i/>
          <w:lang w:val="fr-FR"/>
        </w:rPr>
        <w:t xml:space="preserve"> présidente,</w:t>
      </w:r>
      <w:r w:rsidRPr="00E8459A">
        <w:rPr>
          <w:i/>
          <w:lang w:val="fr-FR"/>
        </w:rPr>
        <w:br/>
      </w:r>
      <w:r w:rsidRPr="00E8459A">
        <w:rPr>
          <w:lang w:val="fr-FR"/>
        </w:rPr>
        <w:tab/>
        <w:t>Guido Raimondi,</w:t>
      </w:r>
      <w:r w:rsidRPr="00E8459A">
        <w:rPr>
          <w:i/>
          <w:lang w:val="fr-FR"/>
        </w:rPr>
        <w:br/>
      </w:r>
      <w:r w:rsidRPr="00E8459A">
        <w:rPr>
          <w:lang w:val="fr-FR"/>
        </w:rPr>
        <w:tab/>
        <w:t>George Nicolaou,</w:t>
      </w:r>
      <w:r w:rsidRPr="00E8459A">
        <w:rPr>
          <w:i/>
          <w:lang w:val="fr-FR"/>
        </w:rPr>
        <w:br/>
      </w:r>
      <w:r w:rsidRPr="00E8459A">
        <w:rPr>
          <w:lang w:val="fr-FR"/>
        </w:rPr>
        <w:tab/>
        <w:t>Ledi Bianku,</w:t>
      </w:r>
      <w:r w:rsidRPr="00E8459A">
        <w:rPr>
          <w:i/>
          <w:lang w:val="fr-FR"/>
        </w:rPr>
        <w:br/>
      </w:r>
      <w:r w:rsidRPr="00E8459A">
        <w:rPr>
          <w:lang w:val="fr-FR"/>
        </w:rPr>
        <w:tab/>
        <w:t>Nona Tsotsoria,</w:t>
      </w:r>
      <w:r w:rsidRPr="00E8459A">
        <w:rPr>
          <w:i/>
          <w:lang w:val="fr-FR"/>
        </w:rPr>
        <w:br/>
      </w:r>
      <w:r w:rsidRPr="00E8459A">
        <w:rPr>
          <w:lang w:val="fr-FR"/>
        </w:rPr>
        <w:tab/>
        <w:t>Faris Vehabović,</w:t>
      </w:r>
      <w:r w:rsidRPr="00E8459A">
        <w:rPr>
          <w:i/>
          <w:lang w:val="fr-FR"/>
        </w:rPr>
        <w:br/>
      </w:r>
      <w:r w:rsidRPr="00E8459A">
        <w:rPr>
          <w:lang w:val="fr-FR"/>
        </w:rPr>
        <w:tab/>
        <w:t>Yonko Grozev,</w:t>
      </w:r>
      <w:r w:rsidRPr="00E8459A">
        <w:rPr>
          <w:i/>
          <w:lang w:val="fr-FR"/>
        </w:rPr>
        <w:t xml:space="preserve"> juges,</w:t>
      </w:r>
    </w:p>
    <w:p w:rsidR="00E8459A" w:rsidRPr="0072720E" w:rsidRDefault="00E8459A" w:rsidP="000C4516">
      <w:pPr>
        <w:pStyle w:val="ECHRDecisionBody"/>
        <w:rPr>
          <w:lang w:val="fr-FR"/>
        </w:rPr>
      </w:pPr>
      <w:r w:rsidRPr="0072720E">
        <w:rPr>
          <w:lang w:val="fr-FR"/>
        </w:rPr>
        <w:t xml:space="preserve">et de </w:t>
      </w:r>
      <w:r>
        <w:rPr>
          <w:lang w:val="fr-FR"/>
        </w:rPr>
        <w:t>Françoise</w:t>
      </w:r>
      <w:r w:rsidRPr="0072720E">
        <w:rPr>
          <w:lang w:val="fr-FR"/>
        </w:rPr>
        <w:t xml:space="preserve"> </w:t>
      </w:r>
      <w:r>
        <w:rPr>
          <w:lang w:val="fr-FR"/>
        </w:rPr>
        <w:t>Elens-Passos</w:t>
      </w:r>
      <w:r w:rsidRPr="0072720E">
        <w:rPr>
          <w:lang w:val="fr-FR"/>
        </w:rPr>
        <w:t xml:space="preserve">, </w:t>
      </w:r>
      <w:r w:rsidRPr="0072720E">
        <w:rPr>
          <w:i/>
          <w:lang w:val="fr-FR"/>
        </w:rPr>
        <w:t>greffière</w:t>
      </w:r>
      <w:r w:rsidRPr="0072720E">
        <w:rPr>
          <w:i/>
          <w:iCs/>
          <w:lang w:val="fr-FR"/>
        </w:rPr>
        <w:t xml:space="preserve"> d</w:t>
      </w:r>
      <w:r w:rsidRPr="0072720E">
        <w:rPr>
          <w:i/>
          <w:lang w:val="fr-FR"/>
        </w:rPr>
        <w:t>e section,</w:t>
      </w:r>
    </w:p>
    <w:p w:rsidR="00E8459A" w:rsidRPr="0072720E" w:rsidRDefault="00E8459A" w:rsidP="00270BD2">
      <w:pPr>
        <w:pStyle w:val="ECHRPara"/>
        <w:rPr>
          <w:lang w:val="fr-FR"/>
        </w:rPr>
      </w:pPr>
      <w:r w:rsidRPr="0072720E">
        <w:rPr>
          <w:lang w:val="fr-FR"/>
        </w:rPr>
        <w:t xml:space="preserve">Vu la requête susmentionnée introduite le </w:t>
      </w:r>
      <w:r>
        <w:rPr>
          <w:lang w:val="fr-FR"/>
        </w:rPr>
        <w:t>30 décembre 2013</w:t>
      </w:r>
      <w:r w:rsidRPr="0072720E">
        <w:rPr>
          <w:lang w:val="fr-FR"/>
        </w:rPr>
        <w:t>,</w:t>
      </w:r>
    </w:p>
    <w:p w:rsidR="00E8459A" w:rsidRPr="0072720E" w:rsidRDefault="00E8459A" w:rsidP="00270BD2">
      <w:pPr>
        <w:pStyle w:val="ECHRPara"/>
        <w:rPr>
          <w:color w:val="000000"/>
          <w:lang w:val="fr-FR"/>
        </w:rPr>
      </w:pPr>
      <w:r w:rsidRPr="0072720E">
        <w:rPr>
          <w:lang w:val="fr-FR"/>
        </w:rPr>
        <w:t>Après en avoir délibéré</w:t>
      </w:r>
      <w:r>
        <w:rPr>
          <w:lang w:val="fr-FR"/>
        </w:rPr>
        <w:t>, rend la décision suivante :</w:t>
      </w:r>
    </w:p>
    <w:p w:rsidR="00E8459A" w:rsidRPr="0072720E" w:rsidRDefault="00E8459A" w:rsidP="00270BD2">
      <w:pPr>
        <w:pStyle w:val="ECHRTitle1"/>
        <w:rPr>
          <w:lang w:val="fr-FR"/>
        </w:rPr>
      </w:pPr>
      <w:r w:rsidRPr="0072720E">
        <w:rPr>
          <w:lang w:val="fr-FR"/>
        </w:rPr>
        <w:t>EN FAIT</w:t>
      </w:r>
    </w:p>
    <w:p w:rsidR="00E8459A" w:rsidRPr="0072720E" w:rsidRDefault="00E8459A" w:rsidP="00270BD2">
      <w:pPr>
        <w:pStyle w:val="ECHRPara"/>
        <w:rPr>
          <w:lang w:val="fr-FR"/>
        </w:rPr>
      </w:pPr>
      <w:r>
        <w:rPr>
          <w:lang w:val="fr-FR"/>
        </w:rPr>
        <w:t>1.  </w:t>
      </w:r>
      <w:r w:rsidRPr="006B54C6">
        <w:rPr>
          <w:lang w:val="fr-FR"/>
        </w:rPr>
        <w:t>L</w:t>
      </w:r>
      <w:r>
        <w:rPr>
          <w:lang w:val="fr-FR"/>
        </w:rPr>
        <w:t>a</w:t>
      </w:r>
      <w:r w:rsidRPr="006B54C6">
        <w:rPr>
          <w:lang w:val="fr-FR"/>
        </w:rPr>
        <w:t xml:space="preserve"> requérant</w:t>
      </w:r>
      <w:r>
        <w:rPr>
          <w:lang w:val="fr-FR"/>
        </w:rPr>
        <w:t>e</w:t>
      </w:r>
      <w:r w:rsidRPr="006B54C6">
        <w:rPr>
          <w:lang w:val="fr-FR"/>
        </w:rPr>
        <w:t xml:space="preserve">, </w:t>
      </w:r>
      <w:r>
        <w:rPr>
          <w:lang w:val="fr-FR"/>
        </w:rPr>
        <w:t>Wind Telecomunicazioni S.P.A.</w:t>
      </w:r>
      <w:r w:rsidRPr="006B54C6">
        <w:rPr>
          <w:lang w:val="fr-FR"/>
        </w:rPr>
        <w:t>, est un</w:t>
      </w:r>
      <w:r>
        <w:rPr>
          <w:lang w:val="fr-FR"/>
        </w:rPr>
        <w:t xml:space="preserve">e société anonyme italienne ayant son siège </w:t>
      </w:r>
      <w:r w:rsidRPr="006B54C6">
        <w:rPr>
          <w:lang w:val="fr-FR"/>
        </w:rPr>
        <w:t xml:space="preserve">à </w:t>
      </w:r>
      <w:r>
        <w:rPr>
          <w:lang w:val="fr-FR"/>
        </w:rPr>
        <w:t>Rome</w:t>
      </w:r>
      <w:r w:rsidRPr="006B54C6">
        <w:rPr>
          <w:lang w:val="fr-FR"/>
        </w:rPr>
        <w:t xml:space="preserve">. </w:t>
      </w:r>
      <w:r>
        <w:rPr>
          <w:lang w:val="fr-FR"/>
        </w:rPr>
        <w:t>Elle</w:t>
      </w:r>
      <w:r w:rsidRPr="006B54C6">
        <w:rPr>
          <w:lang w:val="fr-FR"/>
        </w:rPr>
        <w:t xml:space="preserve"> est représenté</w:t>
      </w:r>
      <w:r>
        <w:rPr>
          <w:lang w:val="fr-FR"/>
        </w:rPr>
        <w:t>e</w:t>
      </w:r>
      <w:r w:rsidRPr="006B54C6">
        <w:rPr>
          <w:lang w:val="fr-FR"/>
        </w:rPr>
        <w:t xml:space="preserve"> devant la Cour par M</w:t>
      </w:r>
      <w:r w:rsidRPr="006B54C6">
        <w:rPr>
          <w:vertAlign w:val="superscript"/>
          <w:lang w:val="fr-FR"/>
        </w:rPr>
        <w:t>e</w:t>
      </w:r>
      <w:r>
        <w:rPr>
          <w:vertAlign w:val="superscript"/>
          <w:lang w:val="fr-FR"/>
        </w:rPr>
        <w:t>s</w:t>
      </w:r>
      <w:r w:rsidR="00AF7DC3">
        <w:rPr>
          <w:lang w:val="fr-FR"/>
        </w:rPr>
        <w:t xml:space="preserve"> </w:t>
      </w:r>
      <w:r>
        <w:rPr>
          <w:lang w:val="fr-FR"/>
        </w:rPr>
        <w:t>A.</w:t>
      </w:r>
      <w:r w:rsidRPr="006B54C6">
        <w:rPr>
          <w:lang w:val="fr-FR"/>
        </w:rPr>
        <w:t xml:space="preserve"> </w:t>
      </w:r>
      <w:r>
        <w:rPr>
          <w:lang w:val="fr-FR"/>
        </w:rPr>
        <w:t>Guarino et E. Cerchi</w:t>
      </w:r>
      <w:r w:rsidRPr="006B54C6">
        <w:rPr>
          <w:lang w:val="fr-FR"/>
        </w:rPr>
        <w:t>, avocat</w:t>
      </w:r>
      <w:r>
        <w:rPr>
          <w:lang w:val="fr-FR"/>
        </w:rPr>
        <w:t>s</w:t>
      </w:r>
      <w:r w:rsidRPr="006B54C6">
        <w:rPr>
          <w:lang w:val="fr-FR"/>
        </w:rPr>
        <w:t xml:space="preserve"> à </w:t>
      </w:r>
      <w:r>
        <w:rPr>
          <w:lang w:val="fr-FR"/>
        </w:rPr>
        <w:t>Rome, ainsi que par M</w:t>
      </w:r>
      <w:r w:rsidRPr="00075AAA">
        <w:rPr>
          <w:vertAlign w:val="superscript"/>
          <w:lang w:val="fr-FR"/>
        </w:rPr>
        <w:t>es</w:t>
      </w:r>
      <w:r>
        <w:rPr>
          <w:vertAlign w:val="superscript"/>
          <w:lang w:val="fr-FR"/>
        </w:rPr>
        <w:t> </w:t>
      </w:r>
      <w:r>
        <w:rPr>
          <w:lang w:val="fr-FR"/>
        </w:rPr>
        <w:t>G.M.</w:t>
      </w:r>
      <w:r w:rsidR="00AF7DC3">
        <w:rPr>
          <w:lang w:val="fr-FR"/>
        </w:rPr>
        <w:t xml:space="preserve"> </w:t>
      </w:r>
      <w:r>
        <w:rPr>
          <w:lang w:val="fr-FR"/>
        </w:rPr>
        <w:t>Roberti, I. Perego et M. Serpone, avocats à Bruxelles</w:t>
      </w:r>
      <w:r w:rsidRPr="006B54C6">
        <w:rPr>
          <w:lang w:val="fr-FR"/>
        </w:rPr>
        <w:t>.</w:t>
      </w:r>
    </w:p>
    <w:p w:rsidR="00E8459A" w:rsidRDefault="00E8459A" w:rsidP="00270BD2">
      <w:pPr>
        <w:pStyle w:val="ECHRPara"/>
        <w:rPr>
          <w:lang w:val="fr-FR"/>
        </w:rPr>
      </w:pPr>
      <w:r>
        <w:rPr>
          <w:lang w:val="fr-FR"/>
        </w:rPr>
        <w:t>2.  </w:t>
      </w:r>
      <w:r w:rsidRPr="0072720E">
        <w:rPr>
          <w:lang w:val="fr-FR"/>
        </w:rPr>
        <w:t>Les faits de la cause, tels qu</w:t>
      </w:r>
      <w:r w:rsidR="000C4516">
        <w:rPr>
          <w:lang w:val="fr-FR"/>
        </w:rPr>
        <w:t>’</w:t>
      </w:r>
      <w:r w:rsidRPr="0072720E">
        <w:rPr>
          <w:lang w:val="fr-FR"/>
        </w:rPr>
        <w:t>ils ont été exposés par l</w:t>
      </w:r>
      <w:r>
        <w:rPr>
          <w:lang w:val="fr-FR"/>
        </w:rPr>
        <w:t>a</w:t>
      </w:r>
      <w:r w:rsidRPr="0072720E">
        <w:rPr>
          <w:lang w:val="fr-FR"/>
        </w:rPr>
        <w:t xml:space="preserve"> requérant</w:t>
      </w:r>
      <w:r>
        <w:rPr>
          <w:lang w:val="fr-FR"/>
        </w:rPr>
        <w:t>e</w:t>
      </w:r>
      <w:r w:rsidRPr="0072720E">
        <w:rPr>
          <w:lang w:val="fr-FR"/>
        </w:rPr>
        <w:t>, peuvent se résumer comme suit.</w:t>
      </w:r>
    </w:p>
    <w:p w:rsidR="00E8459A" w:rsidRDefault="00E8459A" w:rsidP="00270BD2">
      <w:pPr>
        <w:pStyle w:val="ECHRPara"/>
        <w:rPr>
          <w:lang w:val="fr-FR"/>
        </w:rPr>
      </w:pPr>
      <w:r>
        <w:rPr>
          <w:lang w:val="fr-FR"/>
        </w:rPr>
        <w:t>3.  La requérante est une société commerciale active dans le domaine de la télécommunication sur téléphones fixes et portables. Elle est le troisième opérateur du réseau mobile italien.</w:t>
      </w:r>
    </w:p>
    <w:p w:rsidR="00E8459A" w:rsidRDefault="00E8459A" w:rsidP="00270BD2">
      <w:pPr>
        <w:pStyle w:val="ECHRPara"/>
        <w:rPr>
          <w:lang w:val="fr-FR"/>
        </w:rPr>
      </w:pPr>
      <w:r>
        <w:rPr>
          <w:lang w:val="fr-FR"/>
        </w:rPr>
        <w:t>4.  Par une décision n</w:t>
      </w:r>
      <w:r w:rsidRPr="00E8459A">
        <w:rPr>
          <w:vertAlign w:val="superscript"/>
          <w:lang w:val="fr-FR"/>
        </w:rPr>
        <w:t>o</w:t>
      </w:r>
      <w:r>
        <w:rPr>
          <w:lang w:val="fr-FR"/>
        </w:rPr>
        <w:t xml:space="preserve"> 17131 du 3 août 2007, l</w:t>
      </w:r>
      <w:r w:rsidR="000C4516">
        <w:rPr>
          <w:lang w:val="fr-FR"/>
        </w:rPr>
        <w:t>’</w:t>
      </w:r>
      <w:r>
        <w:rPr>
          <w:lang w:val="fr-FR"/>
        </w:rPr>
        <w:t>Autorité de Garantie de la Concurrence et du Marché (</w:t>
      </w:r>
      <w:r>
        <w:rPr>
          <w:i/>
          <w:lang w:val="fr-FR"/>
        </w:rPr>
        <w:t xml:space="preserve">Autorità Garante della Concorrenza e del Mercato </w:t>
      </w:r>
      <w:r>
        <w:rPr>
          <w:lang w:val="fr-FR"/>
        </w:rPr>
        <w:t>– ci-après, l</w:t>
      </w:r>
      <w:r w:rsidR="000C4516">
        <w:rPr>
          <w:lang w:val="fr-FR"/>
        </w:rPr>
        <w:t>’</w:t>
      </w:r>
      <w:r>
        <w:rPr>
          <w:lang w:val="fr-FR"/>
        </w:rPr>
        <w:t xml:space="preserve">« AGCM ») établit que la requérante avait commis un </w:t>
      </w:r>
      <w:r>
        <w:rPr>
          <w:lang w:val="fr-FR"/>
        </w:rPr>
        <w:lastRenderedPageBreak/>
        <w:t>abus de position dominante aux termes de l</w:t>
      </w:r>
      <w:r w:rsidR="000C4516">
        <w:rPr>
          <w:lang w:val="fr-FR"/>
        </w:rPr>
        <w:t>’</w:t>
      </w:r>
      <w:r>
        <w:rPr>
          <w:lang w:val="fr-FR"/>
        </w:rPr>
        <w:t>article 82 du Traité CE (actuellement article 102 du Traité sur le fonctionnement de l</w:t>
      </w:r>
      <w:r w:rsidR="000C4516">
        <w:rPr>
          <w:lang w:val="fr-FR"/>
        </w:rPr>
        <w:t>’</w:t>
      </w:r>
      <w:r>
        <w:rPr>
          <w:lang w:val="fr-FR"/>
        </w:rPr>
        <w:t>Union européenne – le TFUE –, entré en vigueur le 1</w:t>
      </w:r>
      <w:r w:rsidRPr="0069604B">
        <w:rPr>
          <w:vertAlign w:val="superscript"/>
          <w:lang w:val="fr-FR"/>
        </w:rPr>
        <w:t>er</w:t>
      </w:r>
      <w:r>
        <w:rPr>
          <w:lang w:val="fr-FR"/>
        </w:rPr>
        <w:t xml:space="preserve"> décembre 2009).</w:t>
      </w:r>
    </w:p>
    <w:p w:rsidR="00E8459A" w:rsidRDefault="00E8459A" w:rsidP="00270BD2">
      <w:pPr>
        <w:pStyle w:val="ECHRPara"/>
        <w:rPr>
          <w:lang w:val="fr-FR"/>
        </w:rPr>
      </w:pPr>
      <w:r>
        <w:rPr>
          <w:lang w:val="fr-FR"/>
        </w:rPr>
        <w:t>Cette disposition se lit comme suit :</w:t>
      </w:r>
    </w:p>
    <w:p w:rsidR="00E8459A" w:rsidRDefault="00E8459A" w:rsidP="00270BD2">
      <w:pPr>
        <w:pStyle w:val="ECHRParaQuote"/>
        <w:rPr>
          <w:rFonts w:eastAsiaTheme="minorHAnsi"/>
          <w:lang w:val="fr-FR"/>
        </w:rPr>
      </w:pPr>
      <w:r>
        <w:rPr>
          <w:rFonts w:eastAsiaTheme="minorHAnsi"/>
          <w:lang w:val="fr-FR"/>
        </w:rPr>
        <w:t>« Est incompatible avec le marché intérieur et interdit, dans la mesure où le commerce entre États membres est susceptible d</w:t>
      </w:r>
      <w:r w:rsidR="000C4516">
        <w:rPr>
          <w:rFonts w:eastAsiaTheme="minorHAnsi"/>
          <w:lang w:val="fr-FR"/>
        </w:rPr>
        <w:t>’</w:t>
      </w:r>
      <w:r>
        <w:rPr>
          <w:rFonts w:eastAsiaTheme="minorHAnsi"/>
          <w:lang w:val="fr-FR"/>
        </w:rPr>
        <w:t>en être affecté, le fait pour une ou plusieurs entreprises d</w:t>
      </w:r>
      <w:r w:rsidR="000C4516">
        <w:rPr>
          <w:rFonts w:eastAsiaTheme="minorHAnsi"/>
          <w:lang w:val="fr-FR"/>
        </w:rPr>
        <w:t>’</w:t>
      </w:r>
      <w:r>
        <w:rPr>
          <w:rFonts w:eastAsiaTheme="minorHAnsi"/>
          <w:lang w:val="fr-FR"/>
        </w:rPr>
        <w:t>exploiter de façon abusive une position dominante sur le marché intérieur ou dans une partie substantielle de celui-ci.</w:t>
      </w:r>
    </w:p>
    <w:p w:rsidR="00E8459A" w:rsidRDefault="00E8459A" w:rsidP="00270BD2">
      <w:pPr>
        <w:pStyle w:val="ECHRParaQuote"/>
        <w:rPr>
          <w:rFonts w:eastAsiaTheme="minorHAnsi"/>
          <w:lang w:val="fr-FR"/>
        </w:rPr>
      </w:pPr>
      <w:r>
        <w:rPr>
          <w:rFonts w:eastAsiaTheme="minorHAnsi"/>
          <w:lang w:val="fr-FR"/>
        </w:rPr>
        <w:t>Ces pratiques abusives peuvent notamment consister à :</w:t>
      </w:r>
    </w:p>
    <w:p w:rsidR="00E8459A" w:rsidRDefault="00E8459A" w:rsidP="00270BD2">
      <w:pPr>
        <w:pStyle w:val="ECHRParaQuote"/>
        <w:rPr>
          <w:rFonts w:eastAsiaTheme="minorHAnsi"/>
          <w:lang w:val="fr-FR"/>
        </w:rPr>
      </w:pPr>
      <w:r>
        <w:rPr>
          <w:rFonts w:eastAsiaTheme="minorHAnsi"/>
          <w:lang w:val="fr-FR"/>
        </w:rPr>
        <w:t>a) imposer de façon directe ou indirecte des prix d</w:t>
      </w:r>
      <w:r w:rsidR="000C4516">
        <w:rPr>
          <w:rFonts w:eastAsiaTheme="minorHAnsi"/>
          <w:lang w:val="fr-FR"/>
        </w:rPr>
        <w:t>’</w:t>
      </w:r>
      <w:r>
        <w:rPr>
          <w:rFonts w:eastAsiaTheme="minorHAnsi"/>
          <w:lang w:val="fr-FR"/>
        </w:rPr>
        <w:t>achat ou de vente ou d</w:t>
      </w:r>
      <w:r w:rsidR="000C4516">
        <w:rPr>
          <w:rFonts w:eastAsiaTheme="minorHAnsi"/>
          <w:lang w:val="fr-FR"/>
        </w:rPr>
        <w:t>’</w:t>
      </w:r>
      <w:r>
        <w:rPr>
          <w:rFonts w:eastAsiaTheme="minorHAnsi"/>
          <w:lang w:val="fr-FR"/>
        </w:rPr>
        <w:t>autres conditions de transaction non équitables,</w:t>
      </w:r>
    </w:p>
    <w:p w:rsidR="00E8459A" w:rsidRDefault="00E8459A" w:rsidP="00270BD2">
      <w:pPr>
        <w:pStyle w:val="ECHRParaQuote"/>
        <w:rPr>
          <w:rFonts w:eastAsiaTheme="minorHAnsi"/>
          <w:lang w:val="fr-FR"/>
        </w:rPr>
      </w:pPr>
      <w:r>
        <w:rPr>
          <w:rFonts w:eastAsiaTheme="minorHAnsi"/>
          <w:lang w:val="fr-FR"/>
        </w:rPr>
        <w:t>b) limiter la production, les débouchés ou le développement technique au préjudice des consommateurs,</w:t>
      </w:r>
    </w:p>
    <w:p w:rsidR="00E8459A" w:rsidRDefault="00E8459A" w:rsidP="00270BD2">
      <w:pPr>
        <w:pStyle w:val="ECHRParaQuote"/>
        <w:rPr>
          <w:rFonts w:eastAsiaTheme="minorHAnsi"/>
          <w:lang w:val="fr-FR"/>
        </w:rPr>
      </w:pPr>
      <w:r>
        <w:rPr>
          <w:rFonts w:eastAsiaTheme="minorHAnsi"/>
          <w:lang w:val="fr-FR"/>
        </w:rPr>
        <w:t>c) appliquer à l</w:t>
      </w:r>
      <w:r w:rsidR="000C4516">
        <w:rPr>
          <w:rFonts w:eastAsiaTheme="minorHAnsi"/>
          <w:lang w:val="fr-FR"/>
        </w:rPr>
        <w:t>’</w:t>
      </w:r>
      <w:r>
        <w:rPr>
          <w:rFonts w:eastAsiaTheme="minorHAnsi"/>
          <w:lang w:val="fr-FR"/>
        </w:rPr>
        <w:t>égard de partenaires commerciaux des conditions inégales à des prestations équivalentes, en leur infligeant de ce fait un désavantage dans la concurrence,</w:t>
      </w:r>
    </w:p>
    <w:p w:rsidR="00E8459A" w:rsidRDefault="00E8459A" w:rsidP="00270BD2">
      <w:pPr>
        <w:pStyle w:val="ECHRParaQuote"/>
        <w:rPr>
          <w:rFonts w:eastAsiaTheme="minorHAnsi"/>
          <w:lang w:val="fr-FR"/>
        </w:rPr>
      </w:pPr>
      <w:r>
        <w:rPr>
          <w:rFonts w:eastAsiaTheme="minorHAnsi"/>
          <w:lang w:val="fr-FR"/>
        </w:rPr>
        <w:t>d) subordonner la conclusion de contrats à l</w:t>
      </w:r>
      <w:r w:rsidR="000C4516">
        <w:rPr>
          <w:rFonts w:eastAsiaTheme="minorHAnsi"/>
          <w:lang w:val="fr-FR"/>
        </w:rPr>
        <w:t>’</w:t>
      </w:r>
      <w:r>
        <w:rPr>
          <w:rFonts w:eastAsiaTheme="minorHAnsi"/>
          <w:lang w:val="fr-FR"/>
        </w:rPr>
        <w:t>acceptation, par les partenaires, de prestations supplémentaires qui, par leur nature ou selon les usages commerciaux, n</w:t>
      </w:r>
      <w:r w:rsidR="000C4516">
        <w:rPr>
          <w:rFonts w:eastAsiaTheme="minorHAnsi"/>
          <w:lang w:val="fr-FR"/>
        </w:rPr>
        <w:t>’</w:t>
      </w:r>
      <w:r>
        <w:rPr>
          <w:rFonts w:eastAsiaTheme="minorHAnsi"/>
          <w:lang w:val="fr-FR"/>
        </w:rPr>
        <w:t>ont pas de lien avec l</w:t>
      </w:r>
      <w:r w:rsidR="000C4516">
        <w:rPr>
          <w:rFonts w:eastAsiaTheme="minorHAnsi"/>
          <w:lang w:val="fr-FR"/>
        </w:rPr>
        <w:t>’</w:t>
      </w:r>
      <w:r>
        <w:rPr>
          <w:rFonts w:eastAsiaTheme="minorHAnsi"/>
          <w:lang w:val="fr-FR"/>
        </w:rPr>
        <w:t>objet de ces contrats. »</w:t>
      </w:r>
    </w:p>
    <w:p w:rsidR="00E8459A" w:rsidRDefault="00E8459A" w:rsidP="00270BD2">
      <w:pPr>
        <w:pStyle w:val="ECHRPara"/>
        <w:rPr>
          <w:lang w:val="fr-FR"/>
        </w:rPr>
      </w:pPr>
      <w:r>
        <w:rPr>
          <w:lang w:val="fr-FR"/>
        </w:rPr>
        <w:t>5.  Selon l</w:t>
      </w:r>
      <w:r w:rsidR="000C4516">
        <w:rPr>
          <w:lang w:val="fr-FR"/>
        </w:rPr>
        <w:t>’</w:t>
      </w:r>
      <w:r>
        <w:rPr>
          <w:lang w:val="fr-FR"/>
        </w:rPr>
        <w:t xml:space="preserve">AGCM, la requérante avait proposé des offres à des prix très avantageux pour les appels dirigés vers les clients </w:t>
      </w:r>
      <w:r w:rsidRPr="007F20CD">
        <w:rPr>
          <w:i/>
          <w:lang w:val="fr-FR"/>
        </w:rPr>
        <w:t>Wind</w:t>
      </w:r>
      <w:r>
        <w:rPr>
          <w:lang w:val="fr-FR"/>
        </w:rPr>
        <w:t xml:space="preserve">. Ainsi faisant, elle avait engendré un « effet </w:t>
      </w:r>
      <w:r w:rsidRPr="00995B2A">
        <w:rPr>
          <w:i/>
          <w:lang w:val="fr-FR"/>
        </w:rPr>
        <w:t>club</w:t>
      </w:r>
      <w:r>
        <w:rPr>
          <w:lang w:val="fr-FR"/>
        </w:rPr>
        <w:t> », augmentant son pouvoir de marché et réduisant celui de ses concurrents. En particulier, des conditions inégales avaient été appliquées à des prestations équivalentes, infligeant ainsi aux partenaires commerciaux de la requérante un désavantage contraire à l</w:t>
      </w:r>
      <w:r w:rsidR="000C4516">
        <w:rPr>
          <w:lang w:val="fr-FR"/>
        </w:rPr>
        <w:t>’</w:t>
      </w:r>
      <w:r>
        <w:rPr>
          <w:lang w:val="fr-FR"/>
        </w:rPr>
        <w:t>article 82, deuxième alinéa, lettre c) du Traité CE. Dès lors, l</w:t>
      </w:r>
      <w:r w:rsidR="000C4516">
        <w:rPr>
          <w:lang w:val="fr-FR"/>
        </w:rPr>
        <w:t>’</w:t>
      </w:r>
      <w:r>
        <w:rPr>
          <w:lang w:val="fr-FR"/>
        </w:rPr>
        <w:t>AGCM condamna la requérante à payer une amende de 2 000 000 euros (EUR).</w:t>
      </w:r>
    </w:p>
    <w:p w:rsidR="00E8459A" w:rsidRDefault="00E8459A" w:rsidP="00270BD2">
      <w:pPr>
        <w:pStyle w:val="ECHRPara"/>
        <w:rPr>
          <w:lang w:val="fr-FR"/>
        </w:rPr>
      </w:pPr>
      <w:r>
        <w:rPr>
          <w:lang w:val="fr-FR"/>
        </w:rPr>
        <w:t>6.  La requérante attaqua la décision de l</w:t>
      </w:r>
      <w:r w:rsidR="000C4516">
        <w:rPr>
          <w:lang w:val="fr-FR"/>
        </w:rPr>
        <w:t>’</w:t>
      </w:r>
      <w:r>
        <w:rPr>
          <w:lang w:val="fr-FR"/>
        </w:rPr>
        <w:t>AGCM devant le tribunal administratif régional (ci-après, le « TAR ») du Latium.</w:t>
      </w:r>
    </w:p>
    <w:p w:rsidR="00E8459A" w:rsidRDefault="00E8459A" w:rsidP="00270BD2">
      <w:pPr>
        <w:pStyle w:val="ECHRPara"/>
        <w:rPr>
          <w:lang w:val="fr-FR"/>
        </w:rPr>
      </w:pPr>
      <w:r>
        <w:rPr>
          <w:lang w:val="fr-FR"/>
        </w:rPr>
        <w:t>7.  Par un jugement du 23 janvier 2008, dont le texte fut déposé au greffe le 7 avril 2008, le TAR rejeta le recours de la requérante.</w:t>
      </w:r>
    </w:p>
    <w:p w:rsidR="00E8459A" w:rsidRDefault="00E8459A" w:rsidP="00270BD2">
      <w:pPr>
        <w:pStyle w:val="ECHRPara"/>
        <w:rPr>
          <w:lang w:val="fr-FR"/>
        </w:rPr>
      </w:pPr>
      <w:r>
        <w:rPr>
          <w:lang w:val="fr-FR"/>
        </w:rPr>
        <w:t>8.  En septembre 2008, cette dernière interjeta appel devant le Conseil d</w:t>
      </w:r>
      <w:r w:rsidR="000C4516">
        <w:rPr>
          <w:lang w:val="fr-FR"/>
        </w:rPr>
        <w:t>’</w:t>
      </w:r>
      <w:r>
        <w:rPr>
          <w:lang w:val="fr-FR"/>
        </w:rPr>
        <w:t>État.</w:t>
      </w:r>
    </w:p>
    <w:p w:rsidR="00E8459A" w:rsidRDefault="00E8459A" w:rsidP="00270BD2">
      <w:pPr>
        <w:pStyle w:val="ECHRPara"/>
        <w:rPr>
          <w:lang w:val="fr-FR"/>
        </w:rPr>
      </w:pPr>
      <w:r>
        <w:rPr>
          <w:lang w:val="fr-FR"/>
        </w:rPr>
        <w:t>9.  Elle allégua, entre autres, que la conduite incriminée tombait dans le champ d</w:t>
      </w:r>
      <w:r w:rsidR="000C4516">
        <w:rPr>
          <w:lang w:val="fr-FR"/>
        </w:rPr>
        <w:t>’</w:t>
      </w:r>
      <w:r>
        <w:rPr>
          <w:lang w:val="fr-FR"/>
        </w:rPr>
        <w:t>application de la lettre a), et non de la lettre c), du deuxième alinéa de l</w:t>
      </w:r>
      <w:r w:rsidR="000C4516">
        <w:rPr>
          <w:lang w:val="fr-FR"/>
        </w:rPr>
        <w:t>’</w:t>
      </w:r>
      <w:r>
        <w:rPr>
          <w:lang w:val="fr-FR"/>
        </w:rPr>
        <w:t xml:space="preserve">article 82 du Traité CE. De plus, plusieurs données, relatives à la perte progressive, par la requérante, des quotes-parts de marché, montraient que les offres </w:t>
      </w:r>
      <w:r>
        <w:rPr>
          <w:i/>
          <w:lang w:val="fr-FR"/>
        </w:rPr>
        <w:t xml:space="preserve">Wind </w:t>
      </w:r>
      <w:r>
        <w:rPr>
          <w:lang w:val="fr-FR"/>
        </w:rPr>
        <w:t>n</w:t>
      </w:r>
      <w:r w:rsidR="000C4516">
        <w:rPr>
          <w:lang w:val="fr-FR"/>
        </w:rPr>
        <w:t>’</w:t>
      </w:r>
      <w:r>
        <w:rPr>
          <w:lang w:val="fr-FR"/>
        </w:rPr>
        <w:t>avaient en réalité créé aucun risque pour la concurrence.</w:t>
      </w:r>
    </w:p>
    <w:p w:rsidR="00E8459A" w:rsidRDefault="00E8459A" w:rsidP="00270BD2">
      <w:pPr>
        <w:pStyle w:val="ECHRPara"/>
        <w:rPr>
          <w:lang w:val="fr-FR"/>
        </w:rPr>
      </w:pPr>
      <w:bookmarkStart w:id="1" w:name="questionepregiudizialeConsiglioStato"/>
      <w:r>
        <w:rPr>
          <w:lang w:val="fr-FR"/>
        </w:rPr>
        <w:t>10</w:t>
      </w:r>
      <w:bookmarkEnd w:id="1"/>
      <w:r>
        <w:rPr>
          <w:lang w:val="fr-FR"/>
        </w:rPr>
        <w:t>.  La requérante demanda également au Conseil d</w:t>
      </w:r>
      <w:r w:rsidR="000C4516">
        <w:rPr>
          <w:lang w:val="fr-FR"/>
        </w:rPr>
        <w:t>’</w:t>
      </w:r>
      <w:r>
        <w:rPr>
          <w:lang w:val="fr-FR"/>
        </w:rPr>
        <w:t xml:space="preserve">État de poser à la </w:t>
      </w:r>
      <w:r w:rsidRPr="00F501E3">
        <w:rPr>
          <w:szCs w:val="24"/>
          <w:lang w:val="fr-FR"/>
        </w:rPr>
        <w:t xml:space="preserve">Cour de justice </w:t>
      </w:r>
      <w:r>
        <w:rPr>
          <w:szCs w:val="24"/>
          <w:lang w:val="fr-FR"/>
        </w:rPr>
        <w:t>des Communautés</w:t>
      </w:r>
      <w:r w:rsidRPr="00F501E3">
        <w:rPr>
          <w:szCs w:val="24"/>
          <w:lang w:val="fr-FR"/>
        </w:rPr>
        <w:t xml:space="preserve"> européenne</w:t>
      </w:r>
      <w:r>
        <w:rPr>
          <w:szCs w:val="24"/>
          <w:lang w:val="fr-FR"/>
        </w:rPr>
        <w:t xml:space="preserve">s (CJCE – depuis </w:t>
      </w:r>
      <w:r>
        <w:rPr>
          <w:lang w:val="fr-FR"/>
        </w:rPr>
        <w:t>le 1</w:t>
      </w:r>
      <w:r w:rsidRPr="00500481">
        <w:rPr>
          <w:vertAlign w:val="superscript"/>
          <w:lang w:val="fr-FR"/>
        </w:rPr>
        <w:t>er</w:t>
      </w:r>
      <w:r>
        <w:rPr>
          <w:vertAlign w:val="superscript"/>
          <w:lang w:val="fr-FR"/>
        </w:rPr>
        <w:t> </w:t>
      </w:r>
      <w:r>
        <w:rPr>
          <w:lang w:val="fr-FR"/>
        </w:rPr>
        <w:t>décembre 2009</w:t>
      </w:r>
      <w:r w:rsidRPr="00C964F9">
        <w:rPr>
          <w:lang w:val="fr-FR"/>
        </w:rPr>
        <w:t xml:space="preserve">, la </w:t>
      </w:r>
      <w:r w:rsidRPr="00C964F9">
        <w:rPr>
          <w:bCs/>
          <w:lang w:val="fr-FR"/>
        </w:rPr>
        <w:t>Cour</w:t>
      </w:r>
      <w:r w:rsidRPr="00C964F9">
        <w:rPr>
          <w:lang w:val="fr-FR"/>
        </w:rPr>
        <w:t xml:space="preserve"> de </w:t>
      </w:r>
      <w:r w:rsidRPr="00C964F9">
        <w:rPr>
          <w:bCs/>
          <w:lang w:val="fr-FR"/>
        </w:rPr>
        <w:t>justice</w:t>
      </w:r>
      <w:r w:rsidRPr="00C964F9">
        <w:rPr>
          <w:lang w:val="fr-FR"/>
        </w:rPr>
        <w:t xml:space="preserve"> </w:t>
      </w:r>
      <w:r>
        <w:rPr>
          <w:lang w:val="fr-FR"/>
        </w:rPr>
        <w:t>de l</w:t>
      </w:r>
      <w:r w:rsidR="000C4516">
        <w:rPr>
          <w:lang w:val="fr-FR"/>
        </w:rPr>
        <w:t>’</w:t>
      </w:r>
      <w:r>
        <w:rPr>
          <w:lang w:val="fr-FR"/>
        </w:rPr>
        <w:t xml:space="preserve">Union </w:t>
      </w:r>
      <w:r w:rsidRPr="00C964F9">
        <w:rPr>
          <w:lang w:val="fr-FR"/>
        </w:rPr>
        <w:t>européenne</w:t>
      </w:r>
      <w:r>
        <w:rPr>
          <w:lang w:val="fr-FR"/>
        </w:rPr>
        <w:t>, la « CJUE »</w:t>
      </w:r>
      <w:r w:rsidRPr="00F501E3">
        <w:rPr>
          <w:szCs w:val="24"/>
          <w:lang w:val="fr-FR"/>
        </w:rPr>
        <w:t>)</w:t>
      </w:r>
      <w:r>
        <w:rPr>
          <w:lang w:val="fr-FR"/>
        </w:rPr>
        <w:t xml:space="preserve"> une question préjudicielle afin de savoir : a) si l</w:t>
      </w:r>
      <w:r w:rsidR="000C4516">
        <w:rPr>
          <w:lang w:val="fr-FR"/>
        </w:rPr>
        <w:t>’</w:t>
      </w:r>
      <w:r>
        <w:rPr>
          <w:lang w:val="fr-FR"/>
        </w:rPr>
        <w:t>article 82 du Traité CE s</w:t>
      </w:r>
      <w:r w:rsidR="000C4516">
        <w:rPr>
          <w:lang w:val="fr-FR"/>
        </w:rPr>
        <w:t>’</w:t>
      </w:r>
      <w:r>
        <w:rPr>
          <w:lang w:val="fr-FR"/>
        </w:rPr>
        <w:t>opposait à ce qu</w:t>
      </w:r>
      <w:r w:rsidR="000C4516">
        <w:rPr>
          <w:lang w:val="fr-FR"/>
        </w:rPr>
        <w:t>’</w:t>
      </w:r>
      <w:r>
        <w:rPr>
          <w:lang w:val="fr-FR"/>
        </w:rPr>
        <w:t xml:space="preserve">un opérateur de téléphonie ayant une quote-part limitée </w:t>
      </w:r>
      <w:r>
        <w:rPr>
          <w:lang w:val="fr-FR"/>
        </w:rPr>
        <w:lastRenderedPageBreak/>
        <w:t>de marché formule des offres « </w:t>
      </w:r>
      <w:r w:rsidRPr="00937266">
        <w:rPr>
          <w:i/>
          <w:lang w:val="fr-FR"/>
        </w:rPr>
        <w:t>on-net</w:t>
      </w:r>
      <w:r>
        <w:rPr>
          <w:lang w:val="fr-FR"/>
        </w:rPr>
        <w:t> » et « </w:t>
      </w:r>
      <w:r w:rsidRPr="00937266">
        <w:rPr>
          <w:i/>
          <w:lang w:val="fr-FR"/>
        </w:rPr>
        <w:t>intercom</w:t>
      </w:r>
      <w:r>
        <w:rPr>
          <w:lang w:val="fr-FR"/>
        </w:rPr>
        <w:t> » ayant des prix inférieurs aux tarifs d</w:t>
      </w:r>
      <w:r w:rsidR="000C4516">
        <w:rPr>
          <w:lang w:val="fr-FR"/>
        </w:rPr>
        <w:t>’</w:t>
      </w:r>
      <w:r>
        <w:rPr>
          <w:lang w:val="fr-FR"/>
        </w:rPr>
        <w:t>appel (</w:t>
      </w:r>
      <w:r>
        <w:rPr>
          <w:i/>
          <w:lang w:val="fr-FR"/>
        </w:rPr>
        <w:t>tariffa di terminazione</w:t>
      </w:r>
      <w:r>
        <w:rPr>
          <w:lang w:val="fr-FR"/>
        </w:rPr>
        <w:t>) ; et b) si le comportement reproché à la requérante devait être qualifié de conduite discriminatoire aux sens de la lettre c) du deuxième alinéa de l</w:t>
      </w:r>
      <w:r w:rsidR="000C4516">
        <w:rPr>
          <w:lang w:val="fr-FR"/>
        </w:rPr>
        <w:t>’</w:t>
      </w:r>
      <w:r>
        <w:rPr>
          <w:lang w:val="fr-FR"/>
        </w:rPr>
        <w:t>article 82 du Traité CE ou bien de conduite visant à une compression des marges, tombant dans le champ d</w:t>
      </w:r>
      <w:r w:rsidR="000C4516">
        <w:rPr>
          <w:lang w:val="fr-FR"/>
        </w:rPr>
        <w:t>’</w:t>
      </w:r>
      <w:r>
        <w:rPr>
          <w:lang w:val="fr-FR"/>
        </w:rPr>
        <w:t>application de la lettre a) du même alinéa.</w:t>
      </w:r>
    </w:p>
    <w:p w:rsidR="00E8459A" w:rsidRDefault="00E8459A" w:rsidP="00270BD2">
      <w:pPr>
        <w:pStyle w:val="ECHRPara"/>
        <w:rPr>
          <w:lang w:val="fr-FR"/>
        </w:rPr>
      </w:pPr>
      <w:bookmarkStart w:id="2" w:name="sentenzaCstato"/>
      <w:r>
        <w:rPr>
          <w:lang w:val="fr-FR"/>
        </w:rPr>
        <w:t>11</w:t>
      </w:r>
      <w:bookmarkEnd w:id="2"/>
      <w:r>
        <w:rPr>
          <w:lang w:val="fr-FR"/>
        </w:rPr>
        <w:t>.  Par un arrêt du 15 mars 2011, dont l</w:t>
      </w:r>
      <w:r w:rsidR="00675A85">
        <w:rPr>
          <w:lang w:val="fr-FR"/>
        </w:rPr>
        <w:t>e texte fut déposé au greffe le </w:t>
      </w:r>
      <w:r>
        <w:rPr>
          <w:lang w:val="fr-FR"/>
        </w:rPr>
        <w:t>20 avril 2011, le Conseil d</w:t>
      </w:r>
      <w:r w:rsidR="000C4516">
        <w:rPr>
          <w:lang w:val="fr-FR"/>
        </w:rPr>
        <w:t>’</w:t>
      </w:r>
      <w:r>
        <w:rPr>
          <w:lang w:val="fr-FR"/>
        </w:rPr>
        <w:t>État rejeta le recours de la requérante.</w:t>
      </w:r>
    </w:p>
    <w:p w:rsidR="00E8459A" w:rsidRPr="00F103DF" w:rsidRDefault="00E8459A" w:rsidP="00270BD2">
      <w:pPr>
        <w:pStyle w:val="ECHRPara"/>
        <w:rPr>
          <w:rFonts w:cstheme="minorHAnsi"/>
          <w:szCs w:val="24"/>
          <w:lang w:val="fr-FR"/>
        </w:rPr>
      </w:pPr>
      <w:bookmarkStart w:id="3" w:name="sentenzaCstatomotivi"/>
      <w:r>
        <w:rPr>
          <w:lang w:val="fr-FR"/>
        </w:rPr>
        <w:t>12</w:t>
      </w:r>
      <w:bookmarkEnd w:id="3"/>
      <w:r>
        <w:rPr>
          <w:lang w:val="fr-FR"/>
        </w:rPr>
        <w:t>.  Il nota qu</w:t>
      </w:r>
      <w:r w:rsidR="000C4516">
        <w:rPr>
          <w:lang w:val="fr-FR"/>
        </w:rPr>
        <w:t>’</w:t>
      </w:r>
      <w:r>
        <w:rPr>
          <w:lang w:val="fr-FR"/>
        </w:rPr>
        <w:t>en cas de marchés intégrés ou connexes, la position dominante détenue sur l</w:t>
      </w:r>
      <w:r w:rsidR="000C4516">
        <w:rPr>
          <w:lang w:val="fr-FR"/>
        </w:rPr>
        <w:t>’</w:t>
      </w:r>
      <w:r>
        <w:rPr>
          <w:lang w:val="fr-FR"/>
        </w:rPr>
        <w:t>un des marchés (pour la requérante, celui des « services d</w:t>
      </w:r>
      <w:r w:rsidR="000C4516">
        <w:rPr>
          <w:lang w:val="fr-FR"/>
        </w:rPr>
        <w:t>’</w:t>
      </w:r>
      <w:r>
        <w:rPr>
          <w:lang w:val="fr-FR"/>
        </w:rPr>
        <w:t>appel ») pouvait être utilisée pour obtenir des bénéfices dans un autre (pour la requérante, celui des « services de communication »). Le Conseil d</w:t>
      </w:r>
      <w:r w:rsidR="000C4516">
        <w:rPr>
          <w:lang w:val="fr-FR"/>
        </w:rPr>
        <w:t>’</w:t>
      </w:r>
      <w:r>
        <w:rPr>
          <w:lang w:val="fr-FR"/>
        </w:rPr>
        <w:t xml:space="preserve">État se référa, sur ce point, à la jurisprudence de la CJCE (notamment aux arrêts </w:t>
      </w:r>
      <w:r w:rsidRPr="00457AD7">
        <w:rPr>
          <w:rStyle w:val="Enfasigrassetto"/>
          <w:rFonts w:ascii="Times New Roman" w:hAnsi="Times New Roman" w:cs="Times New Roman"/>
          <w:b w:val="0"/>
          <w:i/>
          <w:szCs w:val="24"/>
          <w:lang w:val="fr-FR"/>
        </w:rPr>
        <w:t>Istituto Chemioterapico Italiano S.p.A. et Commercial Solvents Corporation c. Commission des Communautés européennes</w:t>
      </w:r>
      <w:r>
        <w:rPr>
          <w:lang w:val="fr-FR"/>
        </w:rPr>
        <w:t>, affaires jointes 6 et 7/73, 6</w:t>
      </w:r>
      <w:r w:rsidR="00AF7DC3">
        <w:rPr>
          <w:lang w:val="fr-FR"/>
        </w:rPr>
        <w:t xml:space="preserve"> </w:t>
      </w:r>
      <w:r>
        <w:rPr>
          <w:lang w:val="fr-FR"/>
        </w:rPr>
        <w:t xml:space="preserve">mars 1974 ; </w:t>
      </w:r>
      <w:r w:rsidRPr="00382399">
        <w:rPr>
          <w:rStyle w:val="Enfasigrassetto"/>
          <w:rFonts w:ascii="Times New Roman" w:hAnsi="Times New Roman" w:cs="Times New Roman"/>
          <w:b w:val="0"/>
          <w:i/>
          <w:lang w:val="fr-FR"/>
        </w:rPr>
        <w:t>SA Centre belge d</w:t>
      </w:r>
      <w:r w:rsidR="000C4516">
        <w:rPr>
          <w:rStyle w:val="Enfasigrassetto"/>
          <w:rFonts w:ascii="Times New Roman" w:hAnsi="Times New Roman" w:cs="Times New Roman"/>
          <w:b w:val="0"/>
          <w:i/>
          <w:lang w:val="fr-FR"/>
        </w:rPr>
        <w:t>’</w:t>
      </w:r>
      <w:r w:rsidRPr="00382399">
        <w:rPr>
          <w:rStyle w:val="Enfasigrassetto"/>
          <w:rFonts w:ascii="Times New Roman" w:hAnsi="Times New Roman" w:cs="Times New Roman"/>
          <w:b w:val="0"/>
          <w:i/>
          <w:lang w:val="fr-FR"/>
        </w:rPr>
        <w:t xml:space="preserve">études de marché </w:t>
      </w:r>
      <w:r>
        <w:rPr>
          <w:rStyle w:val="Enfasigrassetto"/>
          <w:rFonts w:ascii="Times New Roman" w:hAnsi="Times New Roman" w:cs="Times New Roman"/>
          <w:b w:val="0"/>
          <w:i/>
          <w:lang w:val="fr-FR"/>
        </w:rPr>
        <w:t xml:space="preserve">– </w:t>
      </w:r>
      <w:r w:rsidRPr="00382399">
        <w:rPr>
          <w:rStyle w:val="Enfasigrassetto"/>
          <w:rFonts w:ascii="Times New Roman" w:hAnsi="Times New Roman" w:cs="Times New Roman"/>
          <w:b w:val="0"/>
          <w:i/>
          <w:lang w:val="fr-FR"/>
        </w:rPr>
        <w:t>télémarketing (CBEM) c</w:t>
      </w:r>
      <w:r>
        <w:rPr>
          <w:rStyle w:val="Enfasigrassetto"/>
          <w:rFonts w:ascii="Times New Roman" w:hAnsi="Times New Roman" w:cs="Times New Roman"/>
          <w:b w:val="0"/>
          <w:i/>
          <w:lang w:val="fr-FR"/>
        </w:rPr>
        <w:t>.</w:t>
      </w:r>
      <w:r w:rsidRPr="00382399">
        <w:rPr>
          <w:rStyle w:val="Enfasigrassetto"/>
          <w:rFonts w:ascii="Times New Roman" w:hAnsi="Times New Roman" w:cs="Times New Roman"/>
          <w:b w:val="0"/>
          <w:i/>
          <w:lang w:val="fr-FR"/>
        </w:rPr>
        <w:t xml:space="preserve"> SA Compagnie luxembourgeoise de télédiffusion (CLT) et SA Information publicité Benelux (IPB)</w:t>
      </w:r>
      <w:r>
        <w:rPr>
          <w:lang w:val="fr-FR"/>
        </w:rPr>
        <w:t xml:space="preserve">, affaire </w:t>
      </w:r>
      <w:r w:rsidRPr="00382399">
        <w:rPr>
          <w:rFonts w:ascii="Times New Roman" w:eastAsiaTheme="minorHAnsi" w:hAnsi="Times New Roman" w:cs="Times New Roman"/>
          <w:szCs w:val="24"/>
          <w:lang w:val="fr-FR"/>
        </w:rPr>
        <w:t>311/84</w:t>
      </w:r>
      <w:r w:rsidRPr="00382399">
        <w:rPr>
          <w:szCs w:val="24"/>
          <w:lang w:val="fr-FR"/>
        </w:rPr>
        <w:t>,</w:t>
      </w:r>
      <w:r>
        <w:rPr>
          <w:lang w:val="fr-FR"/>
        </w:rPr>
        <w:t xml:space="preserve"> 3 octobre 1985 ; </w:t>
      </w:r>
      <w:r w:rsidRPr="00382399">
        <w:rPr>
          <w:rStyle w:val="Enfasigrassetto"/>
          <w:rFonts w:ascii="Times New Roman" w:hAnsi="Times New Roman" w:cs="Times New Roman"/>
          <w:b w:val="0"/>
          <w:i/>
          <w:lang w:val="fr-FR"/>
        </w:rPr>
        <w:t>AKZO Chemie BV c. Commission des Communautés européennes</w:t>
      </w:r>
      <w:r w:rsidRPr="00382399">
        <w:rPr>
          <w:rStyle w:val="Enfasigrassetto"/>
          <w:rFonts w:ascii="Times New Roman" w:hAnsi="Times New Roman" w:cs="Times New Roman"/>
          <w:b w:val="0"/>
          <w:lang w:val="fr-FR"/>
        </w:rPr>
        <w:t xml:space="preserve">, </w:t>
      </w:r>
      <w:r>
        <w:rPr>
          <w:rStyle w:val="Enfasigrassetto"/>
          <w:rFonts w:ascii="Times New Roman" w:hAnsi="Times New Roman" w:cs="Times New Roman"/>
          <w:b w:val="0"/>
          <w:lang w:val="fr-FR"/>
        </w:rPr>
        <w:t>a</w:t>
      </w:r>
      <w:r w:rsidRPr="00382399">
        <w:rPr>
          <w:rStyle w:val="Enfasigrassetto"/>
          <w:rFonts w:ascii="Times New Roman" w:hAnsi="Times New Roman" w:cs="Times New Roman"/>
          <w:b w:val="0"/>
          <w:lang w:val="fr-FR"/>
        </w:rPr>
        <w:t>ffaire C-62/86</w:t>
      </w:r>
      <w:r>
        <w:rPr>
          <w:lang w:val="fr-FR"/>
        </w:rPr>
        <w:t>, 3 juillet 1991) et du tribunal de première instance CE (</w:t>
      </w:r>
      <w:r w:rsidRPr="00382399">
        <w:rPr>
          <w:rStyle w:val="Enfasigrassetto"/>
          <w:rFonts w:ascii="Times New Roman" w:hAnsi="Times New Roman" w:cs="Times New Roman"/>
          <w:b w:val="0"/>
          <w:i/>
          <w:lang w:val="fr-FR"/>
        </w:rPr>
        <w:t>BPB Industries Plc et British Gypsum Ltd c. Commission des Communautés européennes</w:t>
      </w:r>
      <w:r w:rsidRPr="00382399">
        <w:rPr>
          <w:rStyle w:val="Enfasigrassetto"/>
          <w:rFonts w:ascii="Times New Roman" w:hAnsi="Times New Roman" w:cs="Times New Roman"/>
          <w:b w:val="0"/>
          <w:lang w:val="fr-FR"/>
        </w:rPr>
        <w:t>, affaire T-65/89</w:t>
      </w:r>
      <w:r>
        <w:rPr>
          <w:lang w:val="fr-FR"/>
        </w:rPr>
        <w:t>, 1</w:t>
      </w:r>
      <w:r w:rsidRPr="006D4B3C">
        <w:rPr>
          <w:vertAlign w:val="superscript"/>
          <w:lang w:val="fr-FR"/>
        </w:rPr>
        <w:t>er</w:t>
      </w:r>
      <w:r>
        <w:rPr>
          <w:lang w:val="fr-FR"/>
        </w:rPr>
        <w:t> avril 1993). En outre, le Conseil d</w:t>
      </w:r>
      <w:r w:rsidR="000C4516">
        <w:rPr>
          <w:lang w:val="fr-FR"/>
        </w:rPr>
        <w:t>’</w:t>
      </w:r>
      <w:r>
        <w:rPr>
          <w:lang w:val="fr-FR"/>
        </w:rPr>
        <w:t>État observa que l</w:t>
      </w:r>
      <w:r w:rsidR="000C4516">
        <w:rPr>
          <w:lang w:val="fr-FR"/>
        </w:rPr>
        <w:t>’</w:t>
      </w:r>
      <w:r>
        <w:rPr>
          <w:lang w:val="fr-FR"/>
        </w:rPr>
        <w:t>AGCM avait reproché à la requérante non seulement de pratiquer une politique discriminatoire quant au prix, mais aussi d</w:t>
      </w:r>
      <w:r w:rsidR="000C4516">
        <w:rPr>
          <w:lang w:val="fr-FR"/>
        </w:rPr>
        <w:t>’</w:t>
      </w:r>
      <w:r>
        <w:rPr>
          <w:lang w:val="fr-FR"/>
        </w:rPr>
        <w:t>avoir financé les offres proposées à ses clients grâce aux profits réalisés en appliquant un « tarif d</w:t>
      </w:r>
      <w:r w:rsidR="000C4516">
        <w:rPr>
          <w:lang w:val="fr-FR"/>
        </w:rPr>
        <w:t>’</w:t>
      </w:r>
      <w:r>
        <w:rPr>
          <w:lang w:val="fr-FR"/>
        </w:rPr>
        <w:t>appel » plus élevé à ses concurrents.</w:t>
      </w:r>
    </w:p>
    <w:p w:rsidR="00E8459A" w:rsidRDefault="00E8459A" w:rsidP="00270BD2">
      <w:pPr>
        <w:pStyle w:val="ECHRPara"/>
        <w:rPr>
          <w:rFonts w:cstheme="minorHAnsi"/>
          <w:szCs w:val="24"/>
          <w:lang w:val="fr-FR"/>
        </w:rPr>
      </w:pPr>
      <w:bookmarkStart w:id="4" w:name="ricorsopercassazione"/>
      <w:r>
        <w:rPr>
          <w:rFonts w:cstheme="minorHAnsi"/>
          <w:szCs w:val="24"/>
          <w:lang w:val="fr-FR"/>
        </w:rPr>
        <w:t>13</w:t>
      </w:r>
      <w:bookmarkEnd w:id="4"/>
      <w:r>
        <w:rPr>
          <w:rFonts w:cstheme="minorHAnsi"/>
          <w:szCs w:val="24"/>
          <w:lang w:val="fr-FR"/>
        </w:rPr>
        <w:t>.  </w:t>
      </w:r>
      <w:r w:rsidRPr="00F103DF">
        <w:rPr>
          <w:rFonts w:cstheme="minorHAnsi"/>
          <w:szCs w:val="24"/>
          <w:lang w:val="fr-FR"/>
        </w:rPr>
        <w:t>La requérant</w:t>
      </w:r>
      <w:r>
        <w:rPr>
          <w:rFonts w:cstheme="minorHAnsi"/>
          <w:szCs w:val="24"/>
          <w:lang w:val="fr-FR"/>
        </w:rPr>
        <w:t>e</w:t>
      </w:r>
      <w:r w:rsidRPr="00F103DF">
        <w:rPr>
          <w:rFonts w:cstheme="minorHAnsi"/>
          <w:szCs w:val="24"/>
          <w:lang w:val="fr-FR"/>
        </w:rPr>
        <w:t xml:space="preserve"> s</w:t>
      </w:r>
      <w:r>
        <w:rPr>
          <w:rFonts w:cstheme="minorHAnsi"/>
          <w:szCs w:val="24"/>
          <w:lang w:val="fr-FR"/>
        </w:rPr>
        <w:t>e pourvut en</w:t>
      </w:r>
      <w:r w:rsidRPr="00F103DF">
        <w:rPr>
          <w:rFonts w:cstheme="minorHAnsi"/>
          <w:szCs w:val="24"/>
          <w:lang w:val="fr-FR"/>
        </w:rPr>
        <w:t xml:space="preserve"> cassation aux termes de l</w:t>
      </w:r>
      <w:r w:rsidR="000C4516">
        <w:rPr>
          <w:rFonts w:cstheme="minorHAnsi"/>
          <w:szCs w:val="24"/>
          <w:lang w:val="fr-FR"/>
        </w:rPr>
        <w:t>’</w:t>
      </w:r>
      <w:r w:rsidRPr="00F103DF">
        <w:rPr>
          <w:rFonts w:cstheme="minorHAnsi"/>
          <w:szCs w:val="24"/>
          <w:lang w:val="fr-FR"/>
        </w:rPr>
        <w:t>article 111 § 8 de la Constitution. Cette disposition se lit ainsi :</w:t>
      </w:r>
    </w:p>
    <w:p w:rsidR="00E8459A" w:rsidRDefault="00E8459A" w:rsidP="00270BD2">
      <w:pPr>
        <w:pStyle w:val="ECHRParaQuote"/>
        <w:rPr>
          <w:lang w:val="fr-FR"/>
        </w:rPr>
      </w:pPr>
      <w:r w:rsidRPr="00F103DF">
        <w:rPr>
          <w:lang w:val="fr-FR"/>
        </w:rPr>
        <w:t>« Contre les décisions du Conseil d</w:t>
      </w:r>
      <w:r w:rsidR="000C4516">
        <w:rPr>
          <w:lang w:val="fr-FR"/>
        </w:rPr>
        <w:t>’</w:t>
      </w:r>
      <w:r w:rsidRPr="00F103DF">
        <w:rPr>
          <w:lang w:val="fr-FR"/>
        </w:rPr>
        <w:t>État et de la Cour des comptes, le pourvoi en cassation est admis seulement pour des mot</w:t>
      </w:r>
      <w:r w:rsidR="00AF7DC3">
        <w:rPr>
          <w:lang w:val="fr-FR"/>
        </w:rPr>
        <w:t>ifs relatifs à la juridiction. »</w:t>
      </w:r>
    </w:p>
    <w:p w:rsidR="00E8459A" w:rsidRDefault="00E8459A" w:rsidP="00270BD2">
      <w:pPr>
        <w:pStyle w:val="ECHRPara"/>
        <w:rPr>
          <w:rFonts w:eastAsiaTheme="minorHAnsi" w:cstheme="minorHAnsi"/>
          <w:szCs w:val="24"/>
          <w:lang w:val="fr-FR"/>
        </w:rPr>
      </w:pPr>
      <w:r>
        <w:rPr>
          <w:rFonts w:cstheme="minorHAnsi"/>
          <w:szCs w:val="24"/>
          <w:lang w:val="fr-FR"/>
        </w:rPr>
        <w:t>14.  </w:t>
      </w:r>
      <w:r w:rsidRPr="00F103DF">
        <w:rPr>
          <w:rFonts w:eastAsiaTheme="minorHAnsi" w:cstheme="minorHAnsi"/>
          <w:szCs w:val="24"/>
          <w:lang w:val="fr-FR"/>
        </w:rPr>
        <w:t>La requérante allégua qu</w:t>
      </w:r>
      <w:r w:rsidR="000C4516">
        <w:rPr>
          <w:rFonts w:eastAsiaTheme="minorHAnsi" w:cstheme="minorHAnsi"/>
          <w:szCs w:val="24"/>
          <w:lang w:val="fr-FR"/>
        </w:rPr>
        <w:t>’</w:t>
      </w:r>
      <w:r w:rsidRPr="00F103DF">
        <w:rPr>
          <w:rFonts w:eastAsiaTheme="minorHAnsi" w:cstheme="minorHAnsi"/>
          <w:szCs w:val="24"/>
          <w:lang w:val="fr-FR"/>
        </w:rPr>
        <w:t>en donnant sa propre interprétation du droit de l</w:t>
      </w:r>
      <w:r w:rsidR="000C4516">
        <w:rPr>
          <w:rFonts w:eastAsiaTheme="minorHAnsi" w:cstheme="minorHAnsi"/>
          <w:szCs w:val="24"/>
          <w:lang w:val="fr-FR"/>
        </w:rPr>
        <w:t>’</w:t>
      </w:r>
      <w:r w:rsidRPr="00F103DF">
        <w:rPr>
          <w:rFonts w:eastAsiaTheme="minorHAnsi" w:cstheme="minorHAnsi"/>
          <w:szCs w:val="24"/>
          <w:lang w:val="fr-FR"/>
        </w:rPr>
        <w:t xml:space="preserve">Union européenne </w:t>
      </w:r>
      <w:r>
        <w:rPr>
          <w:rFonts w:eastAsiaTheme="minorHAnsi" w:cstheme="minorHAnsi"/>
          <w:szCs w:val="24"/>
          <w:lang w:val="fr-FR"/>
        </w:rPr>
        <w:t>(ci-après, l</w:t>
      </w:r>
      <w:r w:rsidR="000C4516">
        <w:rPr>
          <w:rFonts w:eastAsiaTheme="minorHAnsi" w:cstheme="minorHAnsi"/>
          <w:szCs w:val="24"/>
          <w:lang w:val="fr-FR"/>
        </w:rPr>
        <w:t>’</w:t>
      </w:r>
      <w:r>
        <w:rPr>
          <w:rFonts w:eastAsiaTheme="minorHAnsi" w:cstheme="minorHAnsi"/>
          <w:szCs w:val="24"/>
          <w:lang w:val="fr-FR"/>
        </w:rPr>
        <w:t xml:space="preserve">« UE ») </w:t>
      </w:r>
      <w:r w:rsidRPr="00F103DF">
        <w:rPr>
          <w:rFonts w:eastAsiaTheme="minorHAnsi" w:cstheme="minorHAnsi"/>
          <w:szCs w:val="24"/>
          <w:lang w:val="fr-FR"/>
        </w:rPr>
        <w:t>sans poser de question préjudicielle à la CJUE, le Conseil d</w:t>
      </w:r>
      <w:r w:rsidR="000C4516">
        <w:rPr>
          <w:rFonts w:eastAsiaTheme="minorHAnsi" w:cstheme="minorHAnsi"/>
          <w:szCs w:val="24"/>
          <w:lang w:val="fr-FR"/>
        </w:rPr>
        <w:t>’</w:t>
      </w:r>
      <w:r w:rsidRPr="00F103DF">
        <w:rPr>
          <w:rFonts w:eastAsiaTheme="minorHAnsi" w:cstheme="minorHAnsi"/>
          <w:szCs w:val="24"/>
          <w:lang w:val="fr-FR"/>
        </w:rPr>
        <w:t>État avait dépassé les limites de sa juridiction.</w:t>
      </w:r>
    </w:p>
    <w:p w:rsidR="00E8459A" w:rsidRDefault="00E8459A" w:rsidP="00270BD2">
      <w:pPr>
        <w:pStyle w:val="ECHRPara"/>
        <w:rPr>
          <w:rFonts w:eastAsiaTheme="minorHAnsi" w:cstheme="minorHAnsi"/>
          <w:szCs w:val="24"/>
          <w:lang w:val="fr-FR"/>
        </w:rPr>
      </w:pPr>
      <w:bookmarkStart w:id="5" w:name="questionepregiudizialeCcass1"/>
      <w:r>
        <w:rPr>
          <w:rFonts w:eastAsiaTheme="minorHAnsi" w:cstheme="minorHAnsi"/>
          <w:szCs w:val="24"/>
          <w:lang w:val="fr-FR"/>
        </w:rPr>
        <w:t>15</w:t>
      </w:r>
      <w:bookmarkEnd w:id="5"/>
      <w:r>
        <w:rPr>
          <w:rFonts w:eastAsiaTheme="minorHAnsi" w:cstheme="minorHAnsi"/>
          <w:szCs w:val="24"/>
          <w:lang w:val="fr-FR"/>
        </w:rPr>
        <w:t>.  Dans la dernière page de son pourvoi, la requérante ajouta la mention suivante :</w:t>
      </w:r>
    </w:p>
    <w:p w:rsidR="00E8459A" w:rsidRDefault="00E8459A" w:rsidP="00270BD2">
      <w:pPr>
        <w:pStyle w:val="ECHRParaQuote"/>
        <w:rPr>
          <w:rFonts w:eastAsiaTheme="minorHAnsi"/>
          <w:lang w:val="fr-FR"/>
        </w:rPr>
      </w:pPr>
      <w:r>
        <w:rPr>
          <w:rFonts w:eastAsiaTheme="minorHAnsi"/>
          <w:lang w:val="fr-FR"/>
        </w:rPr>
        <w:t>« Cependant, au cas où [la Cour de cassation]</w:t>
      </w:r>
      <w:r w:rsidR="00AF7DC3">
        <w:rPr>
          <w:rFonts w:eastAsiaTheme="minorHAnsi"/>
          <w:lang w:val="fr-FR"/>
        </w:rPr>
        <w:t xml:space="preserve"> </w:t>
      </w:r>
      <w:r>
        <w:rPr>
          <w:rFonts w:eastAsiaTheme="minorHAnsi"/>
          <w:lang w:val="fr-FR"/>
        </w:rPr>
        <w:t>estimerait nécessaire d</w:t>
      </w:r>
      <w:r w:rsidR="000C4516">
        <w:rPr>
          <w:rFonts w:eastAsiaTheme="minorHAnsi"/>
          <w:lang w:val="fr-FR"/>
        </w:rPr>
        <w:t>’</w:t>
      </w:r>
      <w:r>
        <w:rPr>
          <w:rFonts w:eastAsiaTheme="minorHAnsi"/>
          <w:lang w:val="fr-FR"/>
        </w:rPr>
        <w:t>éclaircir ultérieurement la portée et les effets de l</w:t>
      </w:r>
      <w:r w:rsidR="000C4516">
        <w:rPr>
          <w:rFonts w:eastAsiaTheme="minorHAnsi"/>
          <w:lang w:val="fr-FR"/>
        </w:rPr>
        <w:t>’</w:t>
      </w:r>
      <w:r>
        <w:rPr>
          <w:rFonts w:eastAsiaTheme="minorHAnsi"/>
          <w:lang w:val="fr-FR"/>
        </w:rPr>
        <w:t>article 267 du TFUE, elle pourra, le cas échéant, interroger à son tour la CJUE sur ce point. »</w:t>
      </w:r>
    </w:p>
    <w:p w:rsidR="00E8459A" w:rsidRDefault="00E8459A" w:rsidP="00270BD2">
      <w:pPr>
        <w:pStyle w:val="ECHRPara"/>
        <w:rPr>
          <w:rFonts w:eastAsiaTheme="minorHAnsi" w:cstheme="minorHAnsi"/>
          <w:szCs w:val="24"/>
          <w:lang w:val="fr-FR"/>
        </w:rPr>
      </w:pPr>
      <w:r>
        <w:rPr>
          <w:rFonts w:eastAsiaTheme="minorHAnsi" w:cstheme="minorHAnsi"/>
          <w:szCs w:val="24"/>
          <w:lang w:val="fr-FR"/>
        </w:rPr>
        <w:t>16.  L</w:t>
      </w:r>
      <w:r w:rsidR="000C4516">
        <w:rPr>
          <w:rFonts w:eastAsiaTheme="minorHAnsi" w:cstheme="minorHAnsi"/>
          <w:szCs w:val="24"/>
          <w:lang w:val="fr-FR"/>
        </w:rPr>
        <w:t>’</w:t>
      </w:r>
      <w:r>
        <w:rPr>
          <w:rFonts w:eastAsiaTheme="minorHAnsi" w:cstheme="minorHAnsi"/>
          <w:szCs w:val="24"/>
          <w:lang w:val="fr-FR"/>
        </w:rPr>
        <w:t>article 267 du TFUE (ex-article 234 du Traité CE), est ainsi libellé :</w:t>
      </w:r>
    </w:p>
    <w:p w:rsidR="00E8459A" w:rsidRDefault="00E8459A" w:rsidP="00270BD2">
      <w:pPr>
        <w:pStyle w:val="ECHRParaQuote"/>
        <w:rPr>
          <w:rFonts w:eastAsiaTheme="minorHAnsi"/>
          <w:lang w:val="fr-FR"/>
        </w:rPr>
      </w:pPr>
      <w:r>
        <w:rPr>
          <w:rFonts w:eastAsiaTheme="minorHAnsi"/>
          <w:lang w:val="fr-FR"/>
        </w:rPr>
        <w:lastRenderedPageBreak/>
        <w:t>« La Cour de justice de l</w:t>
      </w:r>
      <w:r w:rsidR="000C4516">
        <w:rPr>
          <w:rFonts w:eastAsiaTheme="minorHAnsi"/>
          <w:lang w:val="fr-FR"/>
        </w:rPr>
        <w:t>’</w:t>
      </w:r>
      <w:r>
        <w:rPr>
          <w:rFonts w:eastAsiaTheme="minorHAnsi"/>
          <w:lang w:val="fr-FR"/>
        </w:rPr>
        <w:t>Union européenne est compétente pour statuer, à titre préjudiciel:</w:t>
      </w:r>
    </w:p>
    <w:p w:rsidR="00E8459A" w:rsidRDefault="00E8459A" w:rsidP="00270BD2">
      <w:pPr>
        <w:pStyle w:val="ECHRParaQuote"/>
        <w:rPr>
          <w:rFonts w:eastAsiaTheme="minorHAnsi"/>
          <w:lang w:val="fr-FR"/>
        </w:rPr>
      </w:pPr>
      <w:r>
        <w:rPr>
          <w:rFonts w:eastAsiaTheme="minorHAnsi"/>
          <w:lang w:val="fr-FR"/>
        </w:rPr>
        <w:t>a) sur l</w:t>
      </w:r>
      <w:r w:rsidR="000C4516">
        <w:rPr>
          <w:rFonts w:eastAsiaTheme="minorHAnsi"/>
          <w:lang w:val="fr-FR"/>
        </w:rPr>
        <w:t>’</w:t>
      </w:r>
      <w:r>
        <w:rPr>
          <w:rFonts w:eastAsiaTheme="minorHAnsi"/>
          <w:lang w:val="fr-FR"/>
        </w:rPr>
        <w:t>interprétation des traités,</w:t>
      </w:r>
    </w:p>
    <w:p w:rsidR="00E8459A" w:rsidRDefault="00E8459A" w:rsidP="00270BD2">
      <w:pPr>
        <w:pStyle w:val="ECHRParaQuote"/>
        <w:rPr>
          <w:rFonts w:eastAsiaTheme="minorHAnsi"/>
          <w:lang w:val="fr-FR"/>
        </w:rPr>
      </w:pPr>
      <w:r>
        <w:rPr>
          <w:rFonts w:eastAsiaTheme="minorHAnsi"/>
          <w:lang w:val="fr-FR"/>
        </w:rPr>
        <w:t>b) sur la validité et l</w:t>
      </w:r>
      <w:r w:rsidR="000C4516">
        <w:rPr>
          <w:rFonts w:eastAsiaTheme="minorHAnsi"/>
          <w:lang w:val="fr-FR"/>
        </w:rPr>
        <w:t>’</w:t>
      </w:r>
      <w:r>
        <w:rPr>
          <w:rFonts w:eastAsiaTheme="minorHAnsi"/>
          <w:lang w:val="fr-FR"/>
        </w:rPr>
        <w:t>interprétation des actes pris par les institutions, organes ou organismes de l</w:t>
      </w:r>
      <w:r w:rsidR="000C4516">
        <w:rPr>
          <w:rFonts w:eastAsiaTheme="minorHAnsi"/>
          <w:lang w:val="fr-FR"/>
        </w:rPr>
        <w:t>’</w:t>
      </w:r>
      <w:r>
        <w:rPr>
          <w:rFonts w:eastAsiaTheme="minorHAnsi"/>
          <w:lang w:val="fr-FR"/>
        </w:rPr>
        <w:t>Union.</w:t>
      </w:r>
    </w:p>
    <w:p w:rsidR="00E8459A" w:rsidRDefault="00E8459A" w:rsidP="00270BD2">
      <w:pPr>
        <w:pStyle w:val="ECHRParaQuote"/>
        <w:rPr>
          <w:rFonts w:eastAsiaTheme="minorHAnsi"/>
          <w:lang w:val="fr-FR"/>
        </w:rPr>
      </w:pPr>
      <w:r>
        <w:rPr>
          <w:rFonts w:eastAsiaTheme="minorHAnsi"/>
          <w:lang w:val="fr-FR"/>
        </w:rPr>
        <w:t>Lorsqu</w:t>
      </w:r>
      <w:r w:rsidR="000C4516">
        <w:rPr>
          <w:rFonts w:eastAsiaTheme="minorHAnsi"/>
          <w:lang w:val="fr-FR"/>
        </w:rPr>
        <w:t>’</w:t>
      </w:r>
      <w:r>
        <w:rPr>
          <w:rFonts w:eastAsiaTheme="minorHAnsi"/>
          <w:lang w:val="fr-FR"/>
        </w:rPr>
        <w:t>une telle question est soulevée devant une juridiction d</w:t>
      </w:r>
      <w:r w:rsidR="000C4516">
        <w:rPr>
          <w:rFonts w:eastAsiaTheme="minorHAnsi"/>
          <w:lang w:val="fr-FR"/>
        </w:rPr>
        <w:t>’</w:t>
      </w:r>
      <w:r>
        <w:rPr>
          <w:rFonts w:eastAsiaTheme="minorHAnsi"/>
          <w:lang w:val="fr-FR"/>
        </w:rPr>
        <w:t>un des États membres, cette juridiction peut, si elle estime qu</w:t>
      </w:r>
      <w:r w:rsidR="000C4516">
        <w:rPr>
          <w:rFonts w:eastAsiaTheme="minorHAnsi"/>
          <w:lang w:val="fr-FR"/>
        </w:rPr>
        <w:t>’</w:t>
      </w:r>
      <w:r>
        <w:rPr>
          <w:rFonts w:eastAsiaTheme="minorHAnsi"/>
          <w:lang w:val="fr-FR"/>
        </w:rPr>
        <w:t>une décision sur ce point est nécessaire pour rendre son jugement, demander à la Cour de statuer sur cette question.</w:t>
      </w:r>
    </w:p>
    <w:p w:rsidR="00E8459A" w:rsidRDefault="00E8459A" w:rsidP="00270BD2">
      <w:pPr>
        <w:pStyle w:val="ECHRParaQuote"/>
        <w:rPr>
          <w:rFonts w:eastAsiaTheme="minorHAnsi"/>
          <w:lang w:val="fr-FR"/>
        </w:rPr>
      </w:pPr>
      <w:r>
        <w:rPr>
          <w:rFonts w:eastAsiaTheme="minorHAnsi"/>
          <w:lang w:val="fr-FR"/>
        </w:rPr>
        <w:t>Lorsqu</w:t>
      </w:r>
      <w:r w:rsidR="000C4516">
        <w:rPr>
          <w:rFonts w:eastAsiaTheme="minorHAnsi"/>
          <w:lang w:val="fr-FR"/>
        </w:rPr>
        <w:t>’</w:t>
      </w:r>
      <w:r>
        <w:rPr>
          <w:rFonts w:eastAsiaTheme="minorHAnsi"/>
          <w:lang w:val="fr-FR"/>
        </w:rPr>
        <w:t>une telle question est soulevée dans une affaire pendante devant une juridiction nationale dont les décisions ne sont pas susceptibles d</w:t>
      </w:r>
      <w:r w:rsidR="000C4516">
        <w:rPr>
          <w:rFonts w:eastAsiaTheme="minorHAnsi"/>
          <w:lang w:val="fr-FR"/>
        </w:rPr>
        <w:t>’</w:t>
      </w:r>
      <w:r>
        <w:rPr>
          <w:rFonts w:eastAsiaTheme="minorHAnsi"/>
          <w:lang w:val="fr-FR"/>
        </w:rPr>
        <w:t>un recours juridictionnel de droit interne, cette juridiction est tenue de saisir la Cour.</w:t>
      </w:r>
    </w:p>
    <w:p w:rsidR="00E8459A" w:rsidRPr="00F103DF" w:rsidRDefault="00E8459A" w:rsidP="00270BD2">
      <w:pPr>
        <w:pStyle w:val="ECHRParaQuote"/>
        <w:rPr>
          <w:rFonts w:eastAsiaTheme="minorHAnsi" w:cstheme="minorHAnsi"/>
          <w:szCs w:val="24"/>
          <w:lang w:val="fr-FR"/>
        </w:rPr>
      </w:pPr>
      <w:r>
        <w:rPr>
          <w:rFonts w:eastAsiaTheme="minorHAnsi"/>
          <w:lang w:val="fr-FR"/>
        </w:rPr>
        <w:t>Si une telle question est soulevée dans une affaire pendante devant une juridiction nationale concernant une personne détenue, la Cour statue dans les plus brefs délais. »</w:t>
      </w:r>
    </w:p>
    <w:p w:rsidR="00E8459A" w:rsidRDefault="00E8459A" w:rsidP="00270BD2">
      <w:pPr>
        <w:pStyle w:val="ECHRPara"/>
        <w:rPr>
          <w:rFonts w:eastAsiaTheme="minorHAnsi" w:cstheme="minorHAnsi"/>
          <w:szCs w:val="24"/>
          <w:lang w:val="fr-FR"/>
        </w:rPr>
      </w:pPr>
      <w:bookmarkStart w:id="6" w:name="questionepregiudizialeCcass2"/>
      <w:r>
        <w:rPr>
          <w:rFonts w:eastAsiaTheme="minorHAnsi" w:cstheme="minorHAnsi"/>
          <w:szCs w:val="24"/>
          <w:lang w:val="fr-FR"/>
        </w:rPr>
        <w:t>17</w:t>
      </w:r>
      <w:bookmarkEnd w:id="6"/>
      <w:r>
        <w:rPr>
          <w:rFonts w:eastAsiaTheme="minorHAnsi" w:cstheme="minorHAnsi"/>
          <w:szCs w:val="24"/>
          <w:lang w:val="fr-FR"/>
        </w:rPr>
        <w:t>.  Dans un mémoire du 9 mai 2013, la requérante précisa qu</w:t>
      </w:r>
      <w:r w:rsidR="000C4516">
        <w:rPr>
          <w:rFonts w:eastAsiaTheme="minorHAnsi" w:cstheme="minorHAnsi"/>
          <w:szCs w:val="24"/>
          <w:lang w:val="fr-FR"/>
        </w:rPr>
        <w:t>’</w:t>
      </w:r>
      <w:r>
        <w:rPr>
          <w:rFonts w:eastAsiaTheme="minorHAnsi" w:cstheme="minorHAnsi"/>
          <w:szCs w:val="24"/>
          <w:lang w:val="fr-FR"/>
        </w:rPr>
        <w:t>elle demandait à la Cour de cassation de poser à la CJUE la question préjudicielle suivante :</w:t>
      </w:r>
    </w:p>
    <w:p w:rsidR="00E8459A" w:rsidRDefault="00E8459A" w:rsidP="00270BD2">
      <w:pPr>
        <w:pStyle w:val="ECHRParaQuote"/>
        <w:rPr>
          <w:rFonts w:eastAsiaTheme="minorHAnsi"/>
          <w:lang w:val="fr-FR"/>
        </w:rPr>
      </w:pPr>
      <w:r>
        <w:rPr>
          <w:rFonts w:eastAsiaTheme="minorHAnsi"/>
          <w:lang w:val="fr-FR"/>
        </w:rPr>
        <w:t>« L</w:t>
      </w:r>
      <w:r w:rsidR="000C4516">
        <w:rPr>
          <w:rFonts w:eastAsiaTheme="minorHAnsi"/>
          <w:lang w:val="fr-FR"/>
        </w:rPr>
        <w:t>’</w:t>
      </w:r>
      <w:r>
        <w:rPr>
          <w:rFonts w:eastAsiaTheme="minorHAnsi"/>
          <w:lang w:val="fr-FR"/>
        </w:rPr>
        <w:t>article 267 du TFUE doit-il être interprété dans le sens d</w:t>
      </w:r>
      <w:r w:rsidR="000C4516">
        <w:rPr>
          <w:rFonts w:eastAsiaTheme="minorHAnsi"/>
          <w:lang w:val="fr-FR"/>
        </w:rPr>
        <w:t>’</w:t>
      </w:r>
      <w:r>
        <w:rPr>
          <w:rFonts w:eastAsiaTheme="minorHAnsi"/>
          <w:lang w:val="fr-FR"/>
        </w:rPr>
        <w:t>attribuer à la CJUE une juridiction exclusive en matière d</w:t>
      </w:r>
      <w:r w:rsidR="000C4516">
        <w:rPr>
          <w:rFonts w:eastAsiaTheme="minorHAnsi"/>
          <w:lang w:val="fr-FR"/>
        </w:rPr>
        <w:t>’</w:t>
      </w:r>
      <w:r>
        <w:rPr>
          <w:rFonts w:eastAsiaTheme="minorHAnsi"/>
          <w:lang w:val="fr-FR"/>
        </w:rPr>
        <w:t>interprétation finale des dispositions du système juridique de l</w:t>
      </w:r>
      <w:r w:rsidR="000C4516">
        <w:rPr>
          <w:rFonts w:eastAsiaTheme="minorHAnsi"/>
          <w:lang w:val="fr-FR"/>
        </w:rPr>
        <w:t>’</w:t>
      </w:r>
      <w:r>
        <w:rPr>
          <w:rFonts w:eastAsiaTheme="minorHAnsi"/>
          <w:lang w:val="fr-FR"/>
        </w:rPr>
        <w:t>UE et, par conséquent, un juge national de dernière instance dépasse-t-il les limites de sa juridiction lorsque, en dehors des exceptions précisées par la CJUE, il omet de saisir cette dernière et procède lui-même à interpréter une disposition du système juridique de l</w:t>
      </w:r>
      <w:r w:rsidR="000C4516">
        <w:rPr>
          <w:rFonts w:eastAsiaTheme="minorHAnsi"/>
          <w:lang w:val="fr-FR"/>
        </w:rPr>
        <w:t>’</w:t>
      </w:r>
      <w:r>
        <w:rPr>
          <w:rFonts w:eastAsiaTheme="minorHAnsi"/>
          <w:lang w:val="fr-FR"/>
        </w:rPr>
        <w:t>UE. »</w:t>
      </w:r>
    </w:p>
    <w:p w:rsidR="00E8459A" w:rsidRDefault="00E8459A" w:rsidP="00270BD2">
      <w:pPr>
        <w:pStyle w:val="ECHRPara"/>
        <w:rPr>
          <w:rFonts w:eastAsiaTheme="minorHAnsi" w:cstheme="minorHAnsi"/>
          <w:szCs w:val="24"/>
          <w:lang w:val="fr-FR"/>
        </w:rPr>
      </w:pPr>
      <w:r>
        <w:rPr>
          <w:rFonts w:eastAsiaTheme="minorHAnsi" w:cstheme="minorHAnsi"/>
          <w:szCs w:val="24"/>
          <w:lang w:val="fr-FR"/>
        </w:rPr>
        <w:t>18.  </w:t>
      </w:r>
      <w:r w:rsidRPr="00F103DF">
        <w:rPr>
          <w:rFonts w:eastAsiaTheme="minorHAnsi" w:cstheme="minorHAnsi"/>
          <w:szCs w:val="24"/>
          <w:lang w:val="fr-FR"/>
        </w:rPr>
        <w:t>Par un arrêt du 14 mai 2013, dont l</w:t>
      </w:r>
      <w:r w:rsidR="00675A85">
        <w:rPr>
          <w:rFonts w:eastAsiaTheme="minorHAnsi" w:cstheme="minorHAnsi"/>
          <w:szCs w:val="24"/>
          <w:lang w:val="fr-FR"/>
        </w:rPr>
        <w:t>e texte fut déposé au greffe le </w:t>
      </w:r>
      <w:r w:rsidRPr="00F103DF">
        <w:rPr>
          <w:rFonts w:eastAsiaTheme="minorHAnsi" w:cstheme="minorHAnsi"/>
          <w:szCs w:val="24"/>
          <w:lang w:val="fr-FR"/>
        </w:rPr>
        <w:t>5</w:t>
      </w:r>
      <w:r>
        <w:rPr>
          <w:rFonts w:eastAsiaTheme="minorHAnsi" w:cstheme="minorHAnsi"/>
          <w:szCs w:val="24"/>
          <w:lang w:val="fr-FR"/>
        </w:rPr>
        <w:t> </w:t>
      </w:r>
      <w:r w:rsidRPr="00F103DF">
        <w:rPr>
          <w:rFonts w:eastAsiaTheme="minorHAnsi" w:cstheme="minorHAnsi"/>
          <w:szCs w:val="24"/>
          <w:lang w:val="fr-FR"/>
        </w:rPr>
        <w:t>juillet 2013, la Cour de cassation dé</w:t>
      </w:r>
      <w:r>
        <w:rPr>
          <w:rFonts w:eastAsiaTheme="minorHAnsi" w:cstheme="minorHAnsi"/>
          <w:szCs w:val="24"/>
          <w:lang w:val="fr-FR"/>
        </w:rPr>
        <w:t>clara le pourvoi de</w:t>
      </w:r>
      <w:r w:rsidRPr="00F103DF">
        <w:rPr>
          <w:rFonts w:eastAsiaTheme="minorHAnsi" w:cstheme="minorHAnsi"/>
          <w:szCs w:val="24"/>
          <w:lang w:val="fr-FR"/>
        </w:rPr>
        <w:t xml:space="preserve"> la requérante </w:t>
      </w:r>
      <w:r>
        <w:rPr>
          <w:rFonts w:eastAsiaTheme="minorHAnsi" w:cstheme="minorHAnsi"/>
          <w:szCs w:val="24"/>
          <w:lang w:val="fr-FR"/>
        </w:rPr>
        <w:t>irrecevable</w:t>
      </w:r>
      <w:r w:rsidRPr="00F103DF">
        <w:rPr>
          <w:rFonts w:eastAsiaTheme="minorHAnsi" w:cstheme="minorHAnsi"/>
          <w:szCs w:val="24"/>
          <w:lang w:val="fr-FR"/>
        </w:rPr>
        <w:t>.</w:t>
      </w:r>
    </w:p>
    <w:p w:rsidR="00E8459A" w:rsidRDefault="00E8459A" w:rsidP="00270BD2">
      <w:pPr>
        <w:pStyle w:val="ECHRPara"/>
        <w:rPr>
          <w:rFonts w:eastAsiaTheme="minorHAnsi" w:cstheme="minorHAnsi"/>
          <w:szCs w:val="24"/>
          <w:lang w:val="fr-FR"/>
        </w:rPr>
      </w:pPr>
      <w:r>
        <w:rPr>
          <w:rFonts w:eastAsiaTheme="minorHAnsi" w:cstheme="minorHAnsi"/>
          <w:szCs w:val="24"/>
          <w:lang w:val="fr-FR"/>
        </w:rPr>
        <w:t>19.  Elle observa que la requérante reprochait au Conseil d</w:t>
      </w:r>
      <w:r w:rsidR="000C4516">
        <w:rPr>
          <w:rFonts w:eastAsiaTheme="minorHAnsi" w:cstheme="minorHAnsi"/>
          <w:szCs w:val="24"/>
          <w:lang w:val="fr-FR"/>
        </w:rPr>
        <w:t>’</w:t>
      </w:r>
      <w:r>
        <w:rPr>
          <w:rFonts w:eastAsiaTheme="minorHAnsi" w:cstheme="minorHAnsi"/>
          <w:szCs w:val="24"/>
          <w:lang w:val="fr-FR"/>
        </w:rPr>
        <w:t>État d</w:t>
      </w:r>
      <w:r w:rsidR="000C4516">
        <w:rPr>
          <w:rFonts w:eastAsiaTheme="minorHAnsi" w:cstheme="minorHAnsi"/>
          <w:szCs w:val="24"/>
          <w:lang w:val="fr-FR"/>
        </w:rPr>
        <w:t>’</w:t>
      </w:r>
      <w:r>
        <w:rPr>
          <w:rFonts w:eastAsiaTheme="minorHAnsi" w:cstheme="minorHAnsi"/>
          <w:szCs w:val="24"/>
          <w:lang w:val="fr-FR"/>
        </w:rPr>
        <w:t>avoir tranché son affaire sans préalablement demander à la CJUE si sa conduite rentrait dans le champ d</w:t>
      </w:r>
      <w:r w:rsidR="000C4516">
        <w:rPr>
          <w:rFonts w:eastAsiaTheme="minorHAnsi" w:cstheme="minorHAnsi"/>
          <w:szCs w:val="24"/>
          <w:lang w:val="fr-FR"/>
        </w:rPr>
        <w:t>’</w:t>
      </w:r>
      <w:r>
        <w:rPr>
          <w:rFonts w:eastAsiaTheme="minorHAnsi" w:cstheme="minorHAnsi"/>
          <w:szCs w:val="24"/>
          <w:lang w:val="fr-FR"/>
        </w:rPr>
        <w:t>application de la lettre a) ou de la lettre c) de l</w:t>
      </w:r>
      <w:r w:rsidR="000C4516">
        <w:rPr>
          <w:rFonts w:eastAsiaTheme="minorHAnsi" w:cstheme="minorHAnsi"/>
          <w:szCs w:val="24"/>
          <w:lang w:val="fr-FR"/>
        </w:rPr>
        <w:t>’</w:t>
      </w:r>
      <w:r>
        <w:rPr>
          <w:rFonts w:eastAsiaTheme="minorHAnsi" w:cstheme="minorHAnsi"/>
          <w:szCs w:val="24"/>
          <w:lang w:val="fr-FR"/>
        </w:rPr>
        <w:t xml:space="preserve">article 102 du </w:t>
      </w:r>
      <w:r>
        <w:rPr>
          <w:lang w:val="fr-FR"/>
        </w:rPr>
        <w:t>TFUE</w:t>
      </w:r>
      <w:r>
        <w:rPr>
          <w:rFonts w:eastAsiaTheme="minorHAnsi" w:cstheme="minorHAnsi"/>
          <w:szCs w:val="24"/>
          <w:lang w:val="fr-FR"/>
        </w:rPr>
        <w:t xml:space="preserve"> et si, pour être constitué, un abus de position dominante devait avoir une incidence négative sur la capacité compétitive des concurrents. Selon la requérante, la CJUE ne s</w:t>
      </w:r>
      <w:r w:rsidR="000C4516">
        <w:rPr>
          <w:rFonts w:eastAsiaTheme="minorHAnsi" w:cstheme="minorHAnsi"/>
          <w:szCs w:val="24"/>
          <w:lang w:val="fr-FR"/>
        </w:rPr>
        <w:t>’</w:t>
      </w:r>
      <w:r>
        <w:rPr>
          <w:rFonts w:eastAsiaTheme="minorHAnsi" w:cstheme="minorHAnsi"/>
          <w:szCs w:val="24"/>
          <w:lang w:val="fr-FR"/>
        </w:rPr>
        <w:t>était pas encore clairement exprimée sur ces deux questions, et en donnant sa propre interprétation du TFUE, le Conseil d</w:t>
      </w:r>
      <w:r w:rsidR="000C4516">
        <w:rPr>
          <w:rFonts w:eastAsiaTheme="minorHAnsi" w:cstheme="minorHAnsi"/>
          <w:szCs w:val="24"/>
          <w:lang w:val="fr-FR"/>
        </w:rPr>
        <w:t>’</w:t>
      </w:r>
      <w:r>
        <w:rPr>
          <w:rFonts w:eastAsiaTheme="minorHAnsi" w:cstheme="minorHAnsi"/>
          <w:szCs w:val="24"/>
          <w:lang w:val="fr-FR"/>
        </w:rPr>
        <w:t>État avait dépassé les limites de sa juridiction, la CJUE ayant une compétence exclusive en matière d</w:t>
      </w:r>
      <w:r w:rsidR="000C4516">
        <w:rPr>
          <w:rFonts w:eastAsiaTheme="minorHAnsi" w:cstheme="minorHAnsi"/>
          <w:szCs w:val="24"/>
          <w:lang w:val="fr-FR"/>
        </w:rPr>
        <w:t>’</w:t>
      </w:r>
      <w:r>
        <w:rPr>
          <w:rFonts w:eastAsiaTheme="minorHAnsi" w:cstheme="minorHAnsi"/>
          <w:szCs w:val="24"/>
          <w:lang w:val="fr-FR"/>
        </w:rPr>
        <w:t>interprétation du droit de l</w:t>
      </w:r>
      <w:r w:rsidR="000C4516">
        <w:rPr>
          <w:rFonts w:eastAsiaTheme="minorHAnsi" w:cstheme="minorHAnsi"/>
          <w:szCs w:val="24"/>
          <w:lang w:val="fr-FR"/>
        </w:rPr>
        <w:t>’</w:t>
      </w:r>
      <w:r>
        <w:rPr>
          <w:rFonts w:eastAsiaTheme="minorHAnsi" w:cstheme="minorHAnsi"/>
          <w:szCs w:val="24"/>
          <w:lang w:val="fr-FR"/>
        </w:rPr>
        <w:t>UE.</w:t>
      </w:r>
    </w:p>
    <w:p w:rsidR="00E8459A" w:rsidRDefault="00E8459A" w:rsidP="00270BD2">
      <w:pPr>
        <w:pStyle w:val="ECHRPara"/>
        <w:rPr>
          <w:lang w:val="fr-FR"/>
        </w:rPr>
      </w:pPr>
      <w:bookmarkStart w:id="7" w:name="motivazioneCcass1"/>
      <w:r>
        <w:rPr>
          <w:lang w:val="fr-FR"/>
        </w:rPr>
        <w:t>20</w:t>
      </w:r>
      <w:bookmarkEnd w:id="7"/>
      <w:r>
        <w:rPr>
          <w:lang w:val="fr-FR"/>
        </w:rPr>
        <w:t>.  La Cour de cassation estima cependant que la thèse de la requérante était manifestement dépourvue de fondement. Elle observa que les organes compétents à se prononcer sur la légitimité de la décision de l</w:t>
      </w:r>
      <w:r w:rsidR="000C4516">
        <w:rPr>
          <w:lang w:val="fr-FR"/>
        </w:rPr>
        <w:t>’</w:t>
      </w:r>
      <w:r>
        <w:rPr>
          <w:lang w:val="fr-FR"/>
        </w:rPr>
        <w:t>AGCM étaient le TAR et le Conseil d</w:t>
      </w:r>
      <w:r w:rsidR="000C4516">
        <w:rPr>
          <w:lang w:val="fr-FR"/>
        </w:rPr>
        <w:t>’</w:t>
      </w:r>
      <w:r>
        <w:rPr>
          <w:lang w:val="fr-FR"/>
        </w:rPr>
        <w:t>État. La CJUE n</w:t>
      </w:r>
      <w:r w:rsidR="000C4516">
        <w:rPr>
          <w:lang w:val="fr-FR"/>
        </w:rPr>
        <w:t>’</w:t>
      </w:r>
      <w:r>
        <w:rPr>
          <w:lang w:val="fr-FR"/>
        </w:rPr>
        <w:t>était pas le « juge » du cas d</w:t>
      </w:r>
      <w:r w:rsidR="000C4516">
        <w:rPr>
          <w:lang w:val="fr-FR"/>
        </w:rPr>
        <w:t>’</w:t>
      </w:r>
      <w:r>
        <w:rPr>
          <w:lang w:val="fr-FR"/>
        </w:rPr>
        <w:t>espèce, sa fonction étant limitée à indiquer l</w:t>
      </w:r>
      <w:r w:rsidR="000C4516">
        <w:rPr>
          <w:lang w:val="fr-FR"/>
        </w:rPr>
        <w:t>’</w:t>
      </w:r>
      <w:r>
        <w:rPr>
          <w:lang w:val="fr-FR"/>
        </w:rPr>
        <w:t>interprétation d</w:t>
      </w:r>
      <w:r w:rsidR="000C4516">
        <w:rPr>
          <w:lang w:val="fr-FR"/>
        </w:rPr>
        <w:t>’</w:t>
      </w:r>
      <w:r>
        <w:rPr>
          <w:lang w:val="fr-FR"/>
        </w:rPr>
        <w:t>une disposition (l</w:t>
      </w:r>
      <w:r w:rsidR="000C4516">
        <w:rPr>
          <w:lang w:val="fr-FR"/>
        </w:rPr>
        <w:t>’</w:t>
      </w:r>
      <w:r>
        <w:rPr>
          <w:lang w:val="fr-FR"/>
        </w:rPr>
        <w:t>article 102 du TFUE) pertinente pour décider du bien-fondé de l</w:t>
      </w:r>
      <w:r w:rsidR="000C4516">
        <w:rPr>
          <w:lang w:val="fr-FR"/>
        </w:rPr>
        <w:t>’</w:t>
      </w:r>
      <w:r>
        <w:rPr>
          <w:lang w:val="fr-FR"/>
        </w:rPr>
        <w:t>affaire. La « fonction juridictionnelle » à trancher sur la demande de la requérante d</w:t>
      </w:r>
      <w:r w:rsidR="000C4516">
        <w:rPr>
          <w:lang w:val="fr-FR"/>
        </w:rPr>
        <w:t>’</w:t>
      </w:r>
      <w:r>
        <w:rPr>
          <w:lang w:val="fr-FR"/>
        </w:rPr>
        <w:t>annulation de la décision de l</w:t>
      </w:r>
      <w:r w:rsidR="000C4516">
        <w:rPr>
          <w:lang w:val="fr-FR"/>
        </w:rPr>
        <w:t>’</w:t>
      </w:r>
      <w:r>
        <w:rPr>
          <w:lang w:val="fr-FR"/>
        </w:rPr>
        <w:t xml:space="preserve">AGCM appartenait donc au </w:t>
      </w:r>
      <w:r>
        <w:rPr>
          <w:lang w:val="fr-FR"/>
        </w:rPr>
        <w:lastRenderedPageBreak/>
        <w:t>Conseil d</w:t>
      </w:r>
      <w:r w:rsidR="000C4516">
        <w:rPr>
          <w:lang w:val="fr-FR"/>
        </w:rPr>
        <w:t>’</w:t>
      </w:r>
      <w:r>
        <w:rPr>
          <w:lang w:val="fr-FR"/>
        </w:rPr>
        <w:t>État, qui n</w:t>
      </w:r>
      <w:r w:rsidR="000C4516">
        <w:rPr>
          <w:lang w:val="fr-FR"/>
        </w:rPr>
        <w:t>’</w:t>
      </w:r>
      <w:r>
        <w:rPr>
          <w:lang w:val="fr-FR"/>
        </w:rPr>
        <w:t>avait pas empiété sur la sphère de compétence d</w:t>
      </w:r>
      <w:r w:rsidR="000C4516">
        <w:rPr>
          <w:lang w:val="fr-FR"/>
        </w:rPr>
        <w:t>’</w:t>
      </w:r>
      <w:r>
        <w:rPr>
          <w:lang w:val="fr-FR"/>
        </w:rPr>
        <w:t>une autre juridiction.</w:t>
      </w:r>
    </w:p>
    <w:p w:rsidR="00E8459A" w:rsidRDefault="00E8459A" w:rsidP="00270BD2">
      <w:pPr>
        <w:pStyle w:val="ECHRPara"/>
        <w:rPr>
          <w:lang w:val="fr-FR"/>
        </w:rPr>
      </w:pPr>
      <w:bookmarkStart w:id="8" w:name="motivazioneCcass2"/>
      <w:r>
        <w:rPr>
          <w:lang w:val="fr-FR"/>
        </w:rPr>
        <w:t>21</w:t>
      </w:r>
      <w:bookmarkEnd w:id="8"/>
      <w:r>
        <w:rPr>
          <w:lang w:val="fr-FR"/>
        </w:rPr>
        <w:t>.  La Cour de cassation souligna qu</w:t>
      </w:r>
      <w:r w:rsidR="000C4516">
        <w:rPr>
          <w:lang w:val="fr-FR"/>
        </w:rPr>
        <w:t>’</w:t>
      </w:r>
      <w:r>
        <w:rPr>
          <w:lang w:val="fr-FR"/>
        </w:rPr>
        <w:t>aux termes de l</w:t>
      </w:r>
      <w:r w:rsidR="000C4516">
        <w:rPr>
          <w:lang w:val="fr-FR"/>
        </w:rPr>
        <w:t>’</w:t>
      </w:r>
      <w:r>
        <w:rPr>
          <w:lang w:val="fr-FR"/>
        </w:rPr>
        <w:t>article 111 § 8 de la Constitution, tout pourvoi contre les décisions du Conseil d</w:t>
      </w:r>
      <w:r w:rsidR="000C4516">
        <w:rPr>
          <w:lang w:val="fr-FR"/>
        </w:rPr>
        <w:t>’</w:t>
      </w:r>
      <w:r>
        <w:rPr>
          <w:lang w:val="fr-FR"/>
        </w:rPr>
        <w:t>État ne pouvait que porter sur les « limites extérieures » de la juridiction de cet organe. Dès lors, toute allégation concernant les modalités d</w:t>
      </w:r>
      <w:r w:rsidR="000C4516">
        <w:rPr>
          <w:lang w:val="fr-FR"/>
        </w:rPr>
        <w:t>’</w:t>
      </w:r>
      <w:r>
        <w:rPr>
          <w:lang w:val="fr-FR"/>
        </w:rPr>
        <w:t>exercice de la fonction juridictionnelle (par exemple, en vertu de prétendues erreurs de droit ou d</w:t>
      </w:r>
      <w:r w:rsidR="000C4516">
        <w:rPr>
          <w:lang w:val="fr-FR"/>
        </w:rPr>
        <w:t>’</w:t>
      </w:r>
      <w:r>
        <w:rPr>
          <w:lang w:val="fr-FR"/>
        </w:rPr>
        <w:t>absence de motivation) était irrecevable. La Cour de cassation avait par ailleurs déjà dit que le rejet d</w:t>
      </w:r>
      <w:r w:rsidR="000C4516">
        <w:rPr>
          <w:lang w:val="fr-FR"/>
        </w:rPr>
        <w:t>’</w:t>
      </w:r>
      <w:r>
        <w:rPr>
          <w:lang w:val="fr-FR"/>
        </w:rPr>
        <w:t>une demande de renvoi préjudiciel à la CJUE rentrait dans le pouvoir de décision du juge national. Par ce rejet, le juge interne ne dépassait pas les limites de sa juridiction, mais exprimait un jugement (voir, notamment, les arrêts de la Cour de cassation n</w:t>
      </w:r>
      <w:r w:rsidRPr="007D3D8E">
        <w:rPr>
          <w:vertAlign w:val="superscript"/>
          <w:lang w:val="fr-FR"/>
        </w:rPr>
        <w:t>os</w:t>
      </w:r>
      <w:r>
        <w:rPr>
          <w:lang w:val="fr-FR"/>
        </w:rPr>
        <w:t xml:space="preserve"> 12/3236, 05/26228 et 05/8882). En l</w:t>
      </w:r>
      <w:r w:rsidR="000C4516">
        <w:rPr>
          <w:lang w:val="fr-FR"/>
        </w:rPr>
        <w:t>’</w:t>
      </w:r>
      <w:r>
        <w:rPr>
          <w:lang w:val="fr-FR"/>
        </w:rPr>
        <w:t>espèce, le Conseil d</w:t>
      </w:r>
      <w:r w:rsidR="000C4516">
        <w:rPr>
          <w:lang w:val="fr-FR"/>
        </w:rPr>
        <w:t>’</w:t>
      </w:r>
      <w:r>
        <w:rPr>
          <w:lang w:val="fr-FR"/>
        </w:rPr>
        <w:t>État avait estimé, en substance, que le droit de l</w:t>
      </w:r>
      <w:r w:rsidR="000C4516">
        <w:rPr>
          <w:lang w:val="fr-FR"/>
        </w:rPr>
        <w:t>’</w:t>
      </w:r>
      <w:r>
        <w:rPr>
          <w:lang w:val="fr-FR"/>
        </w:rPr>
        <w:t>UE était suffisamment clair et que dès lors il n</w:t>
      </w:r>
      <w:r w:rsidR="000C4516">
        <w:rPr>
          <w:lang w:val="fr-FR"/>
        </w:rPr>
        <w:t>’</w:t>
      </w:r>
      <w:r>
        <w:rPr>
          <w:lang w:val="fr-FR"/>
        </w:rPr>
        <w:t>était pas nécessaire de poser une question préjudicielle à la CJUE. L</w:t>
      </w:r>
      <w:r w:rsidR="000C4516">
        <w:rPr>
          <w:lang w:val="fr-FR"/>
        </w:rPr>
        <w:t>’</w:t>
      </w:r>
      <w:r>
        <w:rPr>
          <w:lang w:val="fr-FR"/>
        </w:rPr>
        <w:t>éventuelle violation, par le Conseil d</w:t>
      </w:r>
      <w:r w:rsidR="000C4516">
        <w:rPr>
          <w:lang w:val="fr-FR"/>
        </w:rPr>
        <w:t>’</w:t>
      </w:r>
      <w:r>
        <w:rPr>
          <w:lang w:val="fr-FR"/>
        </w:rPr>
        <w:t>État, des règles en matière de renvoi préjudiciel ne donnait pas lieu à un défaut de juridiction et pouvait uniquement former l</w:t>
      </w:r>
      <w:r w:rsidR="000C4516">
        <w:rPr>
          <w:lang w:val="fr-FR"/>
        </w:rPr>
        <w:t>’</w:t>
      </w:r>
      <w:r>
        <w:rPr>
          <w:lang w:val="fr-FR"/>
        </w:rPr>
        <w:t>objet d</w:t>
      </w:r>
      <w:r w:rsidR="000C4516">
        <w:rPr>
          <w:lang w:val="fr-FR"/>
        </w:rPr>
        <w:t>’</w:t>
      </w:r>
      <w:r>
        <w:rPr>
          <w:lang w:val="fr-FR"/>
        </w:rPr>
        <w:t>une demande en dédommagement.</w:t>
      </w:r>
    </w:p>
    <w:p w:rsidR="00E8459A" w:rsidRPr="0072720E" w:rsidRDefault="00E8459A" w:rsidP="00270BD2">
      <w:pPr>
        <w:pStyle w:val="ECHRTitle1"/>
        <w:rPr>
          <w:lang w:val="fr-FR"/>
        </w:rPr>
      </w:pPr>
      <w:r w:rsidRPr="0072720E">
        <w:rPr>
          <w:lang w:val="fr-FR"/>
        </w:rPr>
        <w:t>GRIEF</w:t>
      </w:r>
    </w:p>
    <w:p w:rsidR="00E8459A" w:rsidRPr="0072720E" w:rsidRDefault="00E8459A" w:rsidP="00270BD2">
      <w:pPr>
        <w:pStyle w:val="ECHRPara"/>
        <w:rPr>
          <w:lang w:val="fr-FR"/>
        </w:rPr>
      </w:pPr>
      <w:r>
        <w:rPr>
          <w:lang w:val="fr-FR"/>
        </w:rPr>
        <w:t>22.  </w:t>
      </w:r>
      <w:r w:rsidRPr="0072720E">
        <w:rPr>
          <w:lang w:val="fr-FR"/>
        </w:rPr>
        <w:t>Invoquant l</w:t>
      </w:r>
      <w:r w:rsidR="000C4516">
        <w:rPr>
          <w:lang w:val="fr-FR"/>
        </w:rPr>
        <w:t>’</w:t>
      </w:r>
      <w:r w:rsidRPr="0072720E">
        <w:rPr>
          <w:lang w:val="fr-FR"/>
        </w:rPr>
        <w:t xml:space="preserve">article </w:t>
      </w:r>
      <w:r>
        <w:rPr>
          <w:lang w:val="fr-FR"/>
        </w:rPr>
        <w:t>6 § 1</w:t>
      </w:r>
      <w:r w:rsidRPr="0072720E">
        <w:rPr>
          <w:lang w:val="fr-FR"/>
        </w:rPr>
        <w:t xml:space="preserve"> de la Convention, l</w:t>
      </w:r>
      <w:r>
        <w:rPr>
          <w:lang w:val="fr-FR"/>
        </w:rPr>
        <w:t>a</w:t>
      </w:r>
      <w:r w:rsidRPr="0072720E">
        <w:rPr>
          <w:lang w:val="fr-FR"/>
        </w:rPr>
        <w:t xml:space="preserve"> requérant</w:t>
      </w:r>
      <w:r>
        <w:rPr>
          <w:lang w:val="fr-FR"/>
        </w:rPr>
        <w:t>e</w:t>
      </w:r>
      <w:r w:rsidRPr="0072720E">
        <w:rPr>
          <w:lang w:val="fr-FR"/>
        </w:rPr>
        <w:t xml:space="preserve"> se plaint d</w:t>
      </w:r>
      <w:r w:rsidR="000C4516">
        <w:rPr>
          <w:lang w:val="fr-FR"/>
        </w:rPr>
        <w:t>’</w:t>
      </w:r>
      <w:r>
        <w:rPr>
          <w:lang w:val="fr-FR"/>
        </w:rPr>
        <w:t>un manque d</w:t>
      </w:r>
      <w:r w:rsidR="000C4516">
        <w:rPr>
          <w:lang w:val="fr-FR"/>
        </w:rPr>
        <w:t>’</w:t>
      </w:r>
      <w:r>
        <w:rPr>
          <w:lang w:val="fr-FR"/>
        </w:rPr>
        <w:t>équité de la procédure relative à son recours contre la décision de l</w:t>
      </w:r>
      <w:r w:rsidR="000C4516">
        <w:rPr>
          <w:lang w:val="fr-FR"/>
        </w:rPr>
        <w:t>’</w:t>
      </w:r>
      <w:r>
        <w:rPr>
          <w:lang w:val="fr-FR"/>
        </w:rPr>
        <w:t>AGCM</w:t>
      </w:r>
      <w:r w:rsidRPr="0072720E">
        <w:rPr>
          <w:lang w:val="fr-FR"/>
        </w:rPr>
        <w:t>.</w:t>
      </w:r>
    </w:p>
    <w:p w:rsidR="00E8459A" w:rsidRPr="0072720E" w:rsidRDefault="00E8459A" w:rsidP="00270BD2">
      <w:pPr>
        <w:pStyle w:val="ECHRTitle1"/>
        <w:rPr>
          <w:lang w:val="fr-FR"/>
        </w:rPr>
      </w:pPr>
      <w:r w:rsidRPr="0072720E">
        <w:rPr>
          <w:lang w:val="fr-FR"/>
        </w:rPr>
        <w:t>EN DROIT</w:t>
      </w:r>
    </w:p>
    <w:p w:rsidR="00E8459A" w:rsidRDefault="00E8459A" w:rsidP="00270BD2">
      <w:pPr>
        <w:pStyle w:val="ECHRPara"/>
        <w:rPr>
          <w:lang w:val="fr-FR"/>
        </w:rPr>
      </w:pPr>
      <w:r>
        <w:rPr>
          <w:lang w:val="fr-FR"/>
        </w:rPr>
        <w:t>23.  La</w:t>
      </w:r>
      <w:r w:rsidRPr="006B54C6">
        <w:rPr>
          <w:lang w:val="fr-FR"/>
        </w:rPr>
        <w:t xml:space="preserve"> requérant</w:t>
      </w:r>
      <w:r>
        <w:rPr>
          <w:lang w:val="fr-FR"/>
        </w:rPr>
        <w:t>e</w:t>
      </w:r>
      <w:r w:rsidRPr="006B54C6">
        <w:rPr>
          <w:lang w:val="fr-FR"/>
        </w:rPr>
        <w:t xml:space="preserve"> </w:t>
      </w:r>
      <w:r>
        <w:rPr>
          <w:lang w:val="fr-FR"/>
        </w:rPr>
        <w:t>affirme que la procédure relative à son recours contre la décision de l</w:t>
      </w:r>
      <w:r w:rsidR="000C4516">
        <w:rPr>
          <w:lang w:val="fr-FR"/>
        </w:rPr>
        <w:t>’</w:t>
      </w:r>
      <w:r>
        <w:rPr>
          <w:lang w:val="fr-FR"/>
        </w:rPr>
        <w:t>AGCM n</w:t>
      </w:r>
      <w:r w:rsidRPr="00E8459A">
        <w:rPr>
          <w:vertAlign w:val="superscript"/>
          <w:lang w:val="fr-FR"/>
        </w:rPr>
        <w:t>o</w:t>
      </w:r>
      <w:r>
        <w:rPr>
          <w:lang w:val="fr-FR"/>
        </w:rPr>
        <w:t xml:space="preserve"> 17131 du 3 août 2007 n</w:t>
      </w:r>
      <w:r w:rsidR="000C4516">
        <w:rPr>
          <w:lang w:val="fr-FR"/>
        </w:rPr>
        <w:t>’</w:t>
      </w:r>
      <w:r>
        <w:rPr>
          <w:lang w:val="fr-FR"/>
        </w:rPr>
        <w:t>a pas été équitable.</w:t>
      </w:r>
    </w:p>
    <w:p w:rsidR="00E8459A" w:rsidRDefault="00E8459A" w:rsidP="00270BD2">
      <w:pPr>
        <w:pStyle w:val="ECHRPara"/>
        <w:rPr>
          <w:lang w:val="fr-FR"/>
        </w:rPr>
      </w:pPr>
      <w:r>
        <w:rPr>
          <w:lang w:val="fr-FR"/>
        </w:rPr>
        <w:t>Elle invoque</w:t>
      </w:r>
      <w:r w:rsidRPr="006B54C6">
        <w:rPr>
          <w:lang w:val="fr-FR"/>
        </w:rPr>
        <w:t xml:space="preserve"> l</w:t>
      </w:r>
      <w:r w:rsidR="000C4516">
        <w:rPr>
          <w:lang w:val="fr-FR"/>
        </w:rPr>
        <w:t>’</w:t>
      </w:r>
      <w:r w:rsidRPr="006B54C6">
        <w:rPr>
          <w:lang w:val="fr-FR"/>
        </w:rPr>
        <w:t xml:space="preserve">article </w:t>
      </w:r>
      <w:r>
        <w:rPr>
          <w:lang w:val="fr-FR"/>
        </w:rPr>
        <w:t>6 § 1</w:t>
      </w:r>
      <w:r w:rsidRPr="006B54C6">
        <w:rPr>
          <w:lang w:val="fr-FR"/>
        </w:rPr>
        <w:t xml:space="preserve"> de la Convention</w:t>
      </w:r>
      <w:r>
        <w:rPr>
          <w:lang w:val="fr-FR"/>
        </w:rPr>
        <w:t>, qui, en ses parties pertinentes en l</w:t>
      </w:r>
      <w:r w:rsidR="000C4516">
        <w:rPr>
          <w:lang w:val="fr-FR"/>
        </w:rPr>
        <w:t>’</w:t>
      </w:r>
      <w:r>
        <w:rPr>
          <w:lang w:val="fr-FR"/>
        </w:rPr>
        <w:t>espèce, est ainsi libellé :</w:t>
      </w:r>
    </w:p>
    <w:p w:rsidR="00E8459A" w:rsidRPr="00AD412E" w:rsidRDefault="00E8459A" w:rsidP="00270BD2">
      <w:pPr>
        <w:pStyle w:val="ECHRParaQuote"/>
        <w:rPr>
          <w:lang w:val="fr-FR"/>
        </w:rPr>
      </w:pPr>
      <w:r w:rsidRPr="009208FF">
        <w:rPr>
          <w:lang w:val="fr-FR"/>
        </w:rPr>
        <w:t>« Toute personne a droit à ce que sa cause soit entendue équitablement (...) par un tribunal (...), qui décidera (...) des contestations sur ses droits et obligations de caractère civil (...). </w:t>
      </w:r>
      <w:r w:rsidRPr="00053608">
        <w:rPr>
          <w:lang w:val="fr-FR"/>
        </w:rPr>
        <w:t>»</w:t>
      </w:r>
    </w:p>
    <w:p w:rsidR="00E8459A" w:rsidRDefault="00E8459A" w:rsidP="00270BD2">
      <w:pPr>
        <w:pStyle w:val="ECHRHeading2"/>
        <w:rPr>
          <w:lang w:val="fr-FR"/>
        </w:rPr>
      </w:pPr>
      <w:r>
        <w:rPr>
          <w:lang w:val="fr-FR"/>
        </w:rPr>
        <w:t>A.  Le grief tiré du rejet de demande de renvoi préjudiciel par le Conseil d</w:t>
      </w:r>
      <w:r w:rsidR="000C4516">
        <w:rPr>
          <w:lang w:val="fr-FR"/>
        </w:rPr>
        <w:t>’</w:t>
      </w:r>
      <w:r>
        <w:rPr>
          <w:lang w:val="fr-FR"/>
        </w:rPr>
        <w:t>État</w:t>
      </w:r>
    </w:p>
    <w:p w:rsidR="00E8459A" w:rsidRDefault="00E8459A" w:rsidP="00270BD2">
      <w:pPr>
        <w:pStyle w:val="ECHRPara"/>
        <w:rPr>
          <w:lang w:val="fr-FR"/>
        </w:rPr>
      </w:pPr>
      <w:r>
        <w:rPr>
          <w:lang w:val="fr-FR"/>
        </w:rPr>
        <w:t>24.  </w:t>
      </w:r>
      <w:r w:rsidRPr="00AD412E">
        <w:rPr>
          <w:lang w:val="fr-FR"/>
        </w:rPr>
        <w:t>L</w:t>
      </w:r>
      <w:r>
        <w:rPr>
          <w:lang w:val="fr-FR"/>
        </w:rPr>
        <w:t xml:space="preserve">a requérante reproche en premier lieu </w:t>
      </w:r>
      <w:r w:rsidRPr="00FB4FA7">
        <w:rPr>
          <w:lang w:val="fr-FR"/>
        </w:rPr>
        <w:t>a</w:t>
      </w:r>
      <w:r>
        <w:rPr>
          <w:lang w:val="fr-FR"/>
        </w:rPr>
        <w:t>u</w:t>
      </w:r>
      <w:r w:rsidRPr="00FB4FA7">
        <w:rPr>
          <w:lang w:val="fr-FR"/>
        </w:rPr>
        <w:t xml:space="preserve"> Co</w:t>
      </w:r>
      <w:r>
        <w:rPr>
          <w:lang w:val="fr-FR"/>
        </w:rPr>
        <w:t>nseil d</w:t>
      </w:r>
      <w:r w:rsidR="000C4516">
        <w:rPr>
          <w:lang w:val="fr-FR"/>
        </w:rPr>
        <w:t>’</w:t>
      </w:r>
      <w:r>
        <w:rPr>
          <w:lang w:val="fr-FR"/>
        </w:rPr>
        <w:t>État</w:t>
      </w:r>
      <w:r w:rsidRPr="00FB4FA7">
        <w:rPr>
          <w:lang w:val="fr-FR"/>
        </w:rPr>
        <w:t xml:space="preserve"> </w:t>
      </w:r>
      <w:r>
        <w:rPr>
          <w:lang w:val="fr-FR"/>
        </w:rPr>
        <w:t>d</w:t>
      </w:r>
      <w:r w:rsidR="000C4516">
        <w:rPr>
          <w:lang w:val="fr-FR"/>
        </w:rPr>
        <w:t>’</w:t>
      </w:r>
      <w:r>
        <w:rPr>
          <w:lang w:val="fr-FR"/>
        </w:rPr>
        <w:t>avoir</w:t>
      </w:r>
      <w:r w:rsidRPr="00790333">
        <w:rPr>
          <w:lang w:val="fr-FR"/>
        </w:rPr>
        <w:t xml:space="preserve"> </w:t>
      </w:r>
      <w:r>
        <w:rPr>
          <w:lang w:val="fr-FR"/>
        </w:rPr>
        <w:t xml:space="preserve">en substance </w:t>
      </w:r>
      <w:r w:rsidRPr="00790333">
        <w:rPr>
          <w:lang w:val="fr-FR"/>
        </w:rPr>
        <w:t xml:space="preserve">ignoré </w:t>
      </w:r>
      <w:r>
        <w:rPr>
          <w:lang w:val="fr-FR"/>
        </w:rPr>
        <w:t>sa</w:t>
      </w:r>
      <w:r w:rsidRPr="00790333">
        <w:rPr>
          <w:lang w:val="fr-FR"/>
        </w:rPr>
        <w:t xml:space="preserve"> demande de renvoi préjudiciel</w:t>
      </w:r>
      <w:r>
        <w:rPr>
          <w:lang w:val="fr-FR"/>
        </w:rPr>
        <w:t xml:space="preserve"> relative à l</w:t>
      </w:r>
      <w:r w:rsidR="000C4516">
        <w:rPr>
          <w:lang w:val="fr-FR"/>
        </w:rPr>
        <w:t>’</w:t>
      </w:r>
      <w:r>
        <w:rPr>
          <w:lang w:val="fr-FR"/>
        </w:rPr>
        <w:t xml:space="preserve">interprétation </w:t>
      </w:r>
      <w:r>
        <w:rPr>
          <w:lang w:val="fr-FR"/>
        </w:rPr>
        <w:lastRenderedPageBreak/>
        <w:t>de l</w:t>
      </w:r>
      <w:r w:rsidR="000C4516">
        <w:rPr>
          <w:lang w:val="fr-FR"/>
        </w:rPr>
        <w:t>’</w:t>
      </w:r>
      <w:r>
        <w:rPr>
          <w:lang w:val="fr-FR"/>
        </w:rPr>
        <w:t>article 82 du traité CE</w:t>
      </w:r>
      <w:r w:rsidRPr="00790333">
        <w:rPr>
          <w:lang w:val="fr-FR"/>
        </w:rPr>
        <w:t xml:space="preserve">, </w:t>
      </w:r>
      <w:r>
        <w:rPr>
          <w:lang w:val="fr-FR"/>
        </w:rPr>
        <w:t>et ce d</w:t>
      </w:r>
      <w:r w:rsidR="000C4516">
        <w:rPr>
          <w:lang w:val="fr-FR"/>
        </w:rPr>
        <w:t>’</w:t>
      </w:r>
      <w:r>
        <w:rPr>
          <w:lang w:val="fr-FR"/>
        </w:rPr>
        <w:t>après elle en violation</w:t>
      </w:r>
      <w:r w:rsidRPr="00790333">
        <w:rPr>
          <w:lang w:val="fr-FR"/>
        </w:rPr>
        <w:t xml:space="preserve"> </w:t>
      </w:r>
      <w:r>
        <w:rPr>
          <w:lang w:val="fr-FR"/>
        </w:rPr>
        <w:t>d</w:t>
      </w:r>
      <w:r w:rsidRPr="00790333">
        <w:rPr>
          <w:lang w:val="fr-FR"/>
        </w:rPr>
        <w:t>es principes du procès équitable.</w:t>
      </w:r>
    </w:p>
    <w:p w:rsidR="00E8459A" w:rsidRDefault="00E8459A" w:rsidP="00270BD2">
      <w:pPr>
        <w:pStyle w:val="ECHRPara"/>
        <w:rPr>
          <w:lang w:val="fr-FR"/>
        </w:rPr>
      </w:pPr>
      <w:r>
        <w:rPr>
          <w:lang w:val="fr-FR"/>
        </w:rPr>
        <w:t>25.  La Cour doit déterminer si ce grief a été introduit dans le délai de six mois prévu à l</w:t>
      </w:r>
      <w:r w:rsidR="000C4516">
        <w:rPr>
          <w:lang w:val="fr-FR"/>
        </w:rPr>
        <w:t>’</w:t>
      </w:r>
      <w:r>
        <w:rPr>
          <w:lang w:val="fr-FR"/>
        </w:rPr>
        <w:t>article 35 § 1 de la Convention. Elle observe à cet égard que la requérante avait demandé au Conseil d</w:t>
      </w:r>
      <w:r w:rsidR="000C4516">
        <w:rPr>
          <w:lang w:val="fr-FR"/>
        </w:rPr>
        <w:t>’</w:t>
      </w:r>
      <w:r>
        <w:rPr>
          <w:lang w:val="fr-FR"/>
        </w:rPr>
        <w:t>État de poser à la CJUE une question préjudicielle portant sur deux points : a) si l</w:t>
      </w:r>
      <w:r w:rsidR="000C4516">
        <w:rPr>
          <w:lang w:val="fr-FR"/>
        </w:rPr>
        <w:t>’</w:t>
      </w:r>
      <w:r>
        <w:rPr>
          <w:lang w:val="fr-FR"/>
        </w:rPr>
        <w:t>article 82 du Traité CE s</w:t>
      </w:r>
      <w:r w:rsidR="000C4516">
        <w:rPr>
          <w:lang w:val="fr-FR"/>
        </w:rPr>
        <w:t>’</w:t>
      </w:r>
      <w:r>
        <w:rPr>
          <w:lang w:val="fr-FR"/>
        </w:rPr>
        <w:t>opposait à ce qu</w:t>
      </w:r>
      <w:r w:rsidR="000C4516">
        <w:rPr>
          <w:lang w:val="fr-FR"/>
        </w:rPr>
        <w:t>’</w:t>
      </w:r>
      <w:r>
        <w:rPr>
          <w:lang w:val="fr-FR"/>
        </w:rPr>
        <w:t>un opérateur de téléphonie ayant une quote-part limitée du marché formule des offres « </w:t>
      </w:r>
      <w:r w:rsidRPr="00937266">
        <w:rPr>
          <w:i/>
          <w:lang w:val="fr-FR"/>
        </w:rPr>
        <w:t>on-net</w:t>
      </w:r>
      <w:r>
        <w:rPr>
          <w:lang w:val="fr-FR"/>
        </w:rPr>
        <w:t> » et « </w:t>
      </w:r>
      <w:r w:rsidRPr="00937266">
        <w:rPr>
          <w:i/>
          <w:lang w:val="fr-FR"/>
        </w:rPr>
        <w:t>intercom</w:t>
      </w:r>
      <w:r>
        <w:rPr>
          <w:lang w:val="fr-FR"/>
        </w:rPr>
        <w:t> » ayant des prix inférieurs aux tarifs d</w:t>
      </w:r>
      <w:r w:rsidR="000C4516">
        <w:rPr>
          <w:lang w:val="fr-FR"/>
        </w:rPr>
        <w:t>’</w:t>
      </w:r>
      <w:r>
        <w:rPr>
          <w:lang w:val="fr-FR"/>
        </w:rPr>
        <w:t>appel ; b) si le comportement reproché à la requérante devait être qualifié de conduite discriminatoire aux sens de la lettre c) du deuxième alinéa de l</w:t>
      </w:r>
      <w:r w:rsidR="000C4516">
        <w:rPr>
          <w:lang w:val="fr-FR"/>
        </w:rPr>
        <w:t>’</w:t>
      </w:r>
      <w:r>
        <w:rPr>
          <w:lang w:val="fr-FR"/>
        </w:rPr>
        <w:t>article 82 du Traité CE ou bien de conduite visant à une compression des marges, tombant dans le champ d</w:t>
      </w:r>
      <w:r w:rsidR="000C4516">
        <w:rPr>
          <w:lang w:val="fr-FR"/>
        </w:rPr>
        <w:t>’</w:t>
      </w:r>
      <w:r>
        <w:rPr>
          <w:lang w:val="fr-FR"/>
        </w:rPr>
        <w:t>application de la lettre a) du même alinéa (paragraphe 10 ci-dessus).</w:t>
      </w:r>
    </w:p>
    <w:p w:rsidR="00E8459A" w:rsidRDefault="00E8459A" w:rsidP="00270BD2">
      <w:pPr>
        <w:pStyle w:val="ECHRPara"/>
        <w:rPr>
          <w:lang w:val="fr-FR"/>
        </w:rPr>
      </w:pPr>
      <w:r>
        <w:rPr>
          <w:lang w:val="fr-FR"/>
        </w:rPr>
        <w:t>26.  La Cour relève de surcroît que dans son arrêt du 15 mars 2011 (paragraphes 11-12 ci-dessus), le Conseil d</w:t>
      </w:r>
      <w:r w:rsidR="000C4516">
        <w:rPr>
          <w:lang w:val="fr-FR"/>
        </w:rPr>
        <w:t>’</w:t>
      </w:r>
      <w:r>
        <w:rPr>
          <w:lang w:val="fr-FR"/>
        </w:rPr>
        <w:t>État a rejeté l</w:t>
      </w:r>
      <w:r w:rsidR="000C4516">
        <w:rPr>
          <w:lang w:val="fr-FR"/>
        </w:rPr>
        <w:t>’</w:t>
      </w:r>
      <w:r>
        <w:rPr>
          <w:lang w:val="fr-FR"/>
        </w:rPr>
        <w:t>appel de la requérante et refusé de poser la question préjudicielle sollicitée. Cet arrêt a été déposé au greffe le 20</w:t>
      </w:r>
      <w:r w:rsidR="00AF7DC3">
        <w:rPr>
          <w:lang w:val="fr-FR"/>
        </w:rPr>
        <w:t xml:space="preserve"> </w:t>
      </w:r>
      <w:r>
        <w:rPr>
          <w:lang w:val="fr-FR"/>
        </w:rPr>
        <w:t>avril 2011, soit plus de six mois avant la date d</w:t>
      </w:r>
      <w:r w:rsidR="000C4516">
        <w:rPr>
          <w:lang w:val="fr-FR"/>
        </w:rPr>
        <w:t>’</w:t>
      </w:r>
      <w:r>
        <w:rPr>
          <w:lang w:val="fr-FR"/>
        </w:rPr>
        <w:t>introduction de la requête (</w:t>
      </w:r>
      <w:r w:rsidRPr="00BB292C">
        <w:rPr>
          <w:lang w:val="fr-FR"/>
        </w:rPr>
        <w:t>30 décembre 2013</w:t>
      </w:r>
      <w:r>
        <w:rPr>
          <w:lang w:val="fr-FR"/>
        </w:rPr>
        <w:t>).</w:t>
      </w:r>
    </w:p>
    <w:p w:rsidR="00E8459A" w:rsidRDefault="00E8459A" w:rsidP="00270BD2">
      <w:pPr>
        <w:pStyle w:val="ECHRPara"/>
        <w:rPr>
          <w:lang w:val="fr-FR"/>
        </w:rPr>
      </w:pPr>
      <w:r>
        <w:rPr>
          <w:lang w:val="fr-FR"/>
        </w:rPr>
        <w:t>27.  Il est vrai que par la suite la requérante s</w:t>
      </w:r>
      <w:r w:rsidR="000C4516">
        <w:rPr>
          <w:lang w:val="fr-FR"/>
        </w:rPr>
        <w:t>’</w:t>
      </w:r>
      <w:r>
        <w:rPr>
          <w:lang w:val="fr-FR"/>
        </w:rPr>
        <w:t>est pourvue en cassation, alléguant que le Conseil d</w:t>
      </w:r>
      <w:r w:rsidR="000C4516">
        <w:rPr>
          <w:lang w:val="fr-FR"/>
        </w:rPr>
        <w:t>’</w:t>
      </w:r>
      <w:r>
        <w:rPr>
          <w:lang w:val="fr-FR"/>
        </w:rPr>
        <w:t xml:space="preserve">État avait dépassé les limites de sa juridiction (paragraphe </w:t>
      </w:r>
      <w:r>
        <w:rPr>
          <w:rFonts w:cstheme="minorHAnsi"/>
          <w:szCs w:val="24"/>
          <w:lang w:val="fr-FR"/>
        </w:rPr>
        <w:t>13</w:t>
      </w:r>
      <w:r>
        <w:rPr>
          <w:lang w:val="fr-FR"/>
        </w:rPr>
        <w:t xml:space="preserve"> ci-dessus). I</w:t>
      </w:r>
      <w:r w:rsidRPr="00C85167">
        <w:rPr>
          <w:lang w:val="fr-FR"/>
        </w:rPr>
        <w:t>l convient</w:t>
      </w:r>
      <w:r>
        <w:rPr>
          <w:lang w:val="fr-FR"/>
        </w:rPr>
        <w:t xml:space="preserve"> cependant</w:t>
      </w:r>
      <w:r w:rsidRPr="00C85167">
        <w:rPr>
          <w:lang w:val="fr-FR"/>
        </w:rPr>
        <w:t xml:space="preserve"> de rappeler que selon la jurisprudence de la Cour</w:t>
      </w:r>
      <w:r>
        <w:rPr>
          <w:lang w:val="fr-FR"/>
        </w:rPr>
        <w:t>, l</w:t>
      </w:r>
      <w:r w:rsidR="000C4516">
        <w:rPr>
          <w:lang w:val="fr-FR"/>
        </w:rPr>
        <w:t>’</w:t>
      </w:r>
      <w:r w:rsidRPr="00C85167">
        <w:rPr>
          <w:lang w:val="fr-FR"/>
        </w:rPr>
        <w:t>obligation découlant de l</w:t>
      </w:r>
      <w:r w:rsidR="000C4516">
        <w:rPr>
          <w:lang w:val="fr-FR"/>
        </w:rPr>
        <w:t>’</w:t>
      </w:r>
      <w:r w:rsidRPr="00C85167">
        <w:rPr>
          <w:lang w:val="fr-FR"/>
        </w:rPr>
        <w:t xml:space="preserve">article 35 </w:t>
      </w:r>
      <w:r>
        <w:rPr>
          <w:lang w:val="fr-FR"/>
        </w:rPr>
        <w:t xml:space="preserve">§ 1 </w:t>
      </w:r>
      <w:r w:rsidRPr="00C85167">
        <w:rPr>
          <w:lang w:val="fr-FR"/>
        </w:rPr>
        <w:t>se limite à celle de faire un usage normal des recours vraisemblablement effectifs, suffisants et accessibles (</w:t>
      </w:r>
      <w:r w:rsidRPr="00C85167">
        <w:rPr>
          <w:i/>
          <w:lang w:val="fr-FR"/>
        </w:rPr>
        <w:t>Sofri et autres c. Italie</w:t>
      </w:r>
      <w:r w:rsidRPr="00C85167">
        <w:rPr>
          <w:lang w:val="fr-FR"/>
        </w:rPr>
        <w:t xml:space="preserve"> (déc.), n</w:t>
      </w:r>
      <w:r w:rsidRPr="00C85167">
        <w:rPr>
          <w:vertAlign w:val="superscript"/>
          <w:lang w:val="fr-FR"/>
        </w:rPr>
        <w:t>o</w:t>
      </w:r>
      <w:r w:rsidRPr="00C85167">
        <w:rPr>
          <w:lang w:val="fr-FR"/>
        </w:rPr>
        <w:t xml:space="preserve"> 37235/97, CED</w:t>
      </w:r>
      <w:r>
        <w:rPr>
          <w:szCs w:val="24"/>
          <w:lang w:val="fr-FR"/>
        </w:rPr>
        <w:t>H </w:t>
      </w:r>
      <w:r w:rsidRPr="00483B80">
        <w:rPr>
          <w:szCs w:val="24"/>
          <w:lang w:val="fr-FR"/>
        </w:rPr>
        <w:t xml:space="preserve">2003-VIII, et </w:t>
      </w:r>
      <w:r w:rsidRPr="00483B80">
        <w:rPr>
          <w:i/>
          <w:szCs w:val="24"/>
          <w:lang w:val="fr-FR"/>
        </w:rPr>
        <w:t xml:space="preserve">Sejdovic c. Italie </w:t>
      </w:r>
      <w:r w:rsidRPr="00483B80">
        <w:rPr>
          <w:szCs w:val="24"/>
          <w:lang w:val="fr-FR"/>
        </w:rPr>
        <w:t>[GC], n</w:t>
      </w:r>
      <w:r w:rsidRPr="00E8459A">
        <w:rPr>
          <w:szCs w:val="24"/>
          <w:vertAlign w:val="superscript"/>
          <w:lang w:val="fr-FR"/>
        </w:rPr>
        <w:t>o</w:t>
      </w:r>
      <w:r w:rsidR="00AF7DC3">
        <w:rPr>
          <w:szCs w:val="24"/>
          <w:lang w:val="fr-FR"/>
        </w:rPr>
        <w:t xml:space="preserve"> </w:t>
      </w:r>
      <w:r w:rsidR="006562FA">
        <w:rPr>
          <w:szCs w:val="24"/>
          <w:lang w:val="fr-FR"/>
        </w:rPr>
        <w:t>56581/00, §</w:t>
      </w:r>
      <w:r w:rsidR="00AF7DC3">
        <w:rPr>
          <w:szCs w:val="24"/>
          <w:lang w:val="fr-FR"/>
        </w:rPr>
        <w:t xml:space="preserve"> </w:t>
      </w:r>
      <w:r>
        <w:rPr>
          <w:szCs w:val="24"/>
          <w:lang w:val="fr-FR"/>
        </w:rPr>
        <w:t>45, CEDH </w:t>
      </w:r>
      <w:r w:rsidRPr="00483B80">
        <w:rPr>
          <w:szCs w:val="24"/>
          <w:lang w:val="fr-FR"/>
        </w:rPr>
        <w:t>2006-II).</w:t>
      </w:r>
      <w:r w:rsidRPr="00C85167">
        <w:rPr>
          <w:lang w:val="fr-FR"/>
        </w:rPr>
        <w:t xml:space="preserve"> Lorsque le requérant ne dispose d</w:t>
      </w:r>
      <w:r w:rsidR="000C4516">
        <w:rPr>
          <w:lang w:val="fr-FR"/>
        </w:rPr>
        <w:t>’</w:t>
      </w:r>
      <w:r w:rsidRPr="00C85167">
        <w:rPr>
          <w:lang w:val="fr-FR"/>
        </w:rPr>
        <w:t>aucun recours effectif, le délai</w:t>
      </w:r>
      <w:r>
        <w:rPr>
          <w:lang w:val="fr-FR"/>
        </w:rPr>
        <w:t xml:space="preserve"> de six mois</w:t>
      </w:r>
      <w:r w:rsidRPr="00C85167">
        <w:rPr>
          <w:lang w:val="fr-FR"/>
        </w:rPr>
        <w:t xml:space="preserve"> commence à courir à la date des actes ou mesures dénoncés ou à la date à laquelle le requérant en prend connaissance ou en ressent les effets ou le préjudice (</w:t>
      </w:r>
      <w:bookmarkStart w:id="9" w:name="01000004"/>
      <w:bookmarkEnd w:id="9"/>
      <w:r w:rsidRPr="00C85167">
        <w:rPr>
          <w:i/>
          <w:iCs/>
          <w:lang w:val="fr-FR"/>
        </w:rPr>
        <w:t xml:space="preserve">Younger </w:t>
      </w:r>
      <w:r>
        <w:rPr>
          <w:i/>
          <w:iCs/>
          <w:lang w:val="fr-FR"/>
        </w:rPr>
        <w:t>c</w:t>
      </w:r>
      <w:r w:rsidRPr="00C85167">
        <w:rPr>
          <w:i/>
          <w:iCs/>
          <w:lang w:val="fr-FR"/>
        </w:rPr>
        <w:t>.</w:t>
      </w:r>
      <w:r w:rsidR="00AF7DC3">
        <w:rPr>
          <w:i/>
          <w:iCs/>
          <w:lang w:val="fr-FR"/>
        </w:rPr>
        <w:t xml:space="preserve"> </w:t>
      </w:r>
      <w:r>
        <w:rPr>
          <w:i/>
          <w:iCs/>
          <w:lang w:val="fr-FR"/>
        </w:rPr>
        <w:t>Royaume-Uni</w:t>
      </w:r>
      <w:r w:rsidRPr="00C85167">
        <w:rPr>
          <w:lang w:val="fr-FR"/>
        </w:rPr>
        <w:t xml:space="preserve"> (d</w:t>
      </w:r>
      <w:r>
        <w:rPr>
          <w:lang w:val="fr-FR"/>
        </w:rPr>
        <w:t>é</w:t>
      </w:r>
      <w:r w:rsidRPr="00C85167">
        <w:rPr>
          <w:lang w:val="fr-FR"/>
        </w:rPr>
        <w:t>c.), n</w:t>
      </w:r>
      <w:r w:rsidRPr="00E8459A">
        <w:rPr>
          <w:vertAlign w:val="superscript"/>
          <w:lang w:val="fr-FR"/>
        </w:rPr>
        <w:t>o</w:t>
      </w:r>
      <w:r>
        <w:rPr>
          <w:lang w:val="fr-FR"/>
        </w:rPr>
        <w:t> </w:t>
      </w:r>
      <w:r w:rsidRPr="00C85167">
        <w:rPr>
          <w:lang w:val="fr-FR"/>
        </w:rPr>
        <w:t xml:space="preserve">57420/00, </w:t>
      </w:r>
      <w:r>
        <w:rPr>
          <w:lang w:val="fr-FR"/>
        </w:rPr>
        <w:t>CEDH</w:t>
      </w:r>
      <w:r w:rsidRPr="00C85167">
        <w:rPr>
          <w:lang w:val="fr-FR"/>
        </w:rPr>
        <w:t xml:space="preserve"> 2003-I). </w:t>
      </w:r>
      <w:r>
        <w:rPr>
          <w:lang w:val="fr-FR"/>
        </w:rPr>
        <w:t>En effet</w:t>
      </w:r>
      <w:r w:rsidRPr="00C85167">
        <w:rPr>
          <w:lang w:val="fr-FR"/>
        </w:rPr>
        <w:t>, rien n</w:t>
      </w:r>
      <w:r w:rsidR="000C4516">
        <w:rPr>
          <w:lang w:val="fr-FR"/>
        </w:rPr>
        <w:t>’</w:t>
      </w:r>
      <w:r w:rsidRPr="00C85167">
        <w:rPr>
          <w:lang w:val="fr-FR"/>
        </w:rPr>
        <w:t>impose à un requérant d</w:t>
      </w:r>
      <w:r w:rsidR="000C4516">
        <w:rPr>
          <w:lang w:val="fr-FR"/>
        </w:rPr>
        <w:t>’</w:t>
      </w:r>
      <w:r w:rsidRPr="00C85167">
        <w:rPr>
          <w:lang w:val="fr-FR"/>
        </w:rPr>
        <w:t>user de recours qui ne sont ni adéquats ni effectifs (</w:t>
      </w:r>
      <w:r w:rsidRPr="00C85167">
        <w:rPr>
          <w:i/>
          <w:lang w:val="fr-FR"/>
        </w:rPr>
        <w:t>Akdivar et autres c. Turquie</w:t>
      </w:r>
      <w:r w:rsidRPr="00C85167">
        <w:rPr>
          <w:lang w:val="fr-FR"/>
        </w:rPr>
        <w:t xml:space="preserve">, 16 septembre 1996, </w:t>
      </w:r>
      <w:r>
        <w:rPr>
          <w:lang w:val="fr-FR"/>
        </w:rPr>
        <w:t xml:space="preserve">§ 67, </w:t>
      </w:r>
      <w:r w:rsidRPr="00C85167">
        <w:rPr>
          <w:i/>
          <w:lang w:val="fr-FR"/>
        </w:rPr>
        <w:t>Recueil des arrêts et décisions</w:t>
      </w:r>
      <w:r w:rsidRPr="00C85167">
        <w:rPr>
          <w:lang w:val="fr-FR"/>
        </w:rPr>
        <w:t xml:space="preserve"> 1996-IV). Il s</w:t>
      </w:r>
      <w:r w:rsidR="000C4516">
        <w:rPr>
          <w:lang w:val="fr-FR"/>
        </w:rPr>
        <w:t>’</w:t>
      </w:r>
      <w:r w:rsidRPr="00C85167">
        <w:rPr>
          <w:lang w:val="fr-FR"/>
        </w:rPr>
        <w:t>ensuit que l</w:t>
      </w:r>
      <w:r w:rsidR="000C4516">
        <w:rPr>
          <w:lang w:val="fr-FR"/>
        </w:rPr>
        <w:t>’</w:t>
      </w:r>
      <w:r w:rsidRPr="00C85167">
        <w:rPr>
          <w:lang w:val="fr-FR"/>
        </w:rPr>
        <w:t xml:space="preserve">usage de pareils recours a des conséquences sur la détermination de la « décision définitive » et donc sur la computation du point de départ du délai de six mois (voir, par exemple, </w:t>
      </w:r>
      <w:r w:rsidRPr="00C85167">
        <w:rPr>
          <w:i/>
          <w:lang w:val="fr-FR"/>
        </w:rPr>
        <w:t>Kucherenko c.</w:t>
      </w:r>
      <w:r>
        <w:rPr>
          <w:i/>
          <w:lang w:val="fr-FR"/>
        </w:rPr>
        <w:t> </w:t>
      </w:r>
      <w:r w:rsidRPr="00C85167">
        <w:rPr>
          <w:i/>
          <w:lang w:val="fr-FR"/>
        </w:rPr>
        <w:t>Ukraine</w:t>
      </w:r>
      <w:r w:rsidRPr="00C85167">
        <w:rPr>
          <w:lang w:val="fr-FR"/>
        </w:rPr>
        <w:t xml:space="preserve"> (déc.), n</w:t>
      </w:r>
      <w:r w:rsidRPr="00C85167">
        <w:rPr>
          <w:vertAlign w:val="superscript"/>
          <w:lang w:val="fr-FR"/>
        </w:rPr>
        <w:t>o</w:t>
      </w:r>
      <w:r w:rsidR="00AF7DC3">
        <w:rPr>
          <w:lang w:val="fr-FR"/>
        </w:rPr>
        <w:t xml:space="preserve"> </w:t>
      </w:r>
      <w:r w:rsidRPr="00C85167">
        <w:rPr>
          <w:lang w:val="fr-FR"/>
        </w:rPr>
        <w:t>41974/98, 4 mai 1999</w:t>
      </w:r>
      <w:r>
        <w:rPr>
          <w:lang w:val="fr-FR"/>
        </w:rPr>
        <w:t> ;</w:t>
      </w:r>
      <w:r w:rsidRPr="00C85167">
        <w:rPr>
          <w:lang w:val="fr-FR"/>
        </w:rPr>
        <w:t xml:space="preserve"> </w:t>
      </w:r>
      <w:r w:rsidRPr="00C85167">
        <w:rPr>
          <w:i/>
          <w:lang w:val="fr-FR"/>
        </w:rPr>
        <w:t xml:space="preserve">Prystavska </w:t>
      </w:r>
      <w:r>
        <w:rPr>
          <w:i/>
          <w:lang w:val="fr-FR"/>
        </w:rPr>
        <w:t>c</w:t>
      </w:r>
      <w:r w:rsidRPr="00C85167">
        <w:rPr>
          <w:i/>
          <w:lang w:val="fr-FR"/>
        </w:rPr>
        <w:t xml:space="preserve">. Ukraine </w:t>
      </w:r>
      <w:r w:rsidRPr="00C85167">
        <w:rPr>
          <w:lang w:val="fr-FR"/>
        </w:rPr>
        <w:t>(d</w:t>
      </w:r>
      <w:r>
        <w:rPr>
          <w:lang w:val="fr-FR"/>
        </w:rPr>
        <w:t>é</w:t>
      </w:r>
      <w:r w:rsidRPr="00C85167">
        <w:rPr>
          <w:lang w:val="fr-FR"/>
        </w:rPr>
        <w:t>c.), n</w:t>
      </w:r>
      <w:r w:rsidRPr="00E8459A">
        <w:rPr>
          <w:vertAlign w:val="superscript"/>
          <w:lang w:val="fr-FR"/>
        </w:rPr>
        <w:t>o</w:t>
      </w:r>
      <w:r w:rsidRPr="00C85167">
        <w:rPr>
          <w:lang w:val="fr-FR"/>
        </w:rPr>
        <w:t xml:space="preserve"> 21287/02, 17 </w:t>
      </w:r>
      <w:r>
        <w:rPr>
          <w:lang w:val="fr-FR"/>
        </w:rPr>
        <w:t>décembre</w:t>
      </w:r>
      <w:r w:rsidRPr="00C85167">
        <w:rPr>
          <w:lang w:val="fr-FR"/>
        </w:rPr>
        <w:t xml:space="preserve"> 2002</w:t>
      </w:r>
      <w:r>
        <w:rPr>
          <w:lang w:val="fr-FR"/>
        </w:rPr>
        <w:t xml:space="preserve"> ; et </w:t>
      </w:r>
      <w:r w:rsidRPr="00C85167">
        <w:rPr>
          <w:i/>
          <w:lang w:val="fr-FR"/>
        </w:rPr>
        <w:t>Sapeyan c. Armenie</w:t>
      </w:r>
      <w:r w:rsidRPr="00C85167">
        <w:rPr>
          <w:lang w:val="fr-FR"/>
        </w:rPr>
        <w:t>, n</w:t>
      </w:r>
      <w:r w:rsidRPr="00E8459A">
        <w:rPr>
          <w:vertAlign w:val="superscript"/>
          <w:lang w:val="fr-FR"/>
        </w:rPr>
        <w:t>o</w:t>
      </w:r>
      <w:r w:rsidRPr="00C85167">
        <w:rPr>
          <w:lang w:val="fr-FR"/>
        </w:rPr>
        <w:t xml:space="preserve"> 35738/03, § 21, 13 janvier 2009).</w:t>
      </w:r>
    </w:p>
    <w:p w:rsidR="006562FA" w:rsidRDefault="00E8459A" w:rsidP="00270BD2">
      <w:pPr>
        <w:pStyle w:val="ECHRPara"/>
        <w:rPr>
          <w:lang w:val="fr-FR"/>
        </w:rPr>
      </w:pPr>
      <w:r>
        <w:rPr>
          <w:lang w:val="fr-FR"/>
        </w:rPr>
        <w:t>28.  La Cour doit donc déterminer si, dans les circonstances particulières de la présente affaire, un pourvoi en cassation aux termes de l</w:t>
      </w:r>
      <w:r w:rsidR="000C4516">
        <w:rPr>
          <w:lang w:val="fr-FR"/>
        </w:rPr>
        <w:t>’</w:t>
      </w:r>
      <w:r>
        <w:rPr>
          <w:lang w:val="fr-FR"/>
        </w:rPr>
        <w:t xml:space="preserve">article 111 § 8 de la Constitution était un recours </w:t>
      </w:r>
      <w:r w:rsidRPr="00C85167">
        <w:rPr>
          <w:lang w:val="fr-FR"/>
        </w:rPr>
        <w:t>vraisemblablement effectif</w:t>
      </w:r>
      <w:r>
        <w:rPr>
          <w:lang w:val="fr-FR"/>
        </w:rPr>
        <w:t xml:space="preserve"> pour faire valoir la méconnaissance alléguée, par le Conseil d</w:t>
      </w:r>
      <w:r w:rsidR="000C4516">
        <w:rPr>
          <w:lang w:val="fr-FR"/>
        </w:rPr>
        <w:t>’</w:t>
      </w:r>
      <w:r>
        <w:rPr>
          <w:lang w:val="fr-FR"/>
        </w:rPr>
        <w:t>État, de son obligation de poser à la CJUE une question préjudicielle portant sur l</w:t>
      </w:r>
      <w:r w:rsidR="000C4516">
        <w:rPr>
          <w:lang w:val="fr-FR"/>
        </w:rPr>
        <w:t>’</w:t>
      </w:r>
      <w:r>
        <w:rPr>
          <w:lang w:val="fr-FR"/>
        </w:rPr>
        <w:t>interprétation de l</w:t>
      </w:r>
      <w:r w:rsidR="000C4516">
        <w:rPr>
          <w:lang w:val="fr-FR"/>
        </w:rPr>
        <w:t>’</w:t>
      </w:r>
      <w:r>
        <w:rPr>
          <w:lang w:val="fr-FR"/>
        </w:rPr>
        <w:t xml:space="preserve">article 82 du Traité CE. </w:t>
      </w:r>
      <w:r>
        <w:rPr>
          <w:rFonts w:cstheme="minorHAnsi"/>
          <w:lang w:val="fr-FR"/>
        </w:rPr>
        <w:t>À</w:t>
      </w:r>
      <w:r>
        <w:rPr>
          <w:lang w:val="fr-FR"/>
        </w:rPr>
        <w:t xml:space="preserve"> cet égard, la Cour relève que contre l</w:t>
      </w:r>
      <w:r w:rsidR="000C4516">
        <w:rPr>
          <w:lang w:val="fr-FR"/>
        </w:rPr>
        <w:t>’</w:t>
      </w:r>
      <w:r>
        <w:rPr>
          <w:lang w:val="fr-FR"/>
        </w:rPr>
        <w:t xml:space="preserve">arrêt du </w:t>
      </w:r>
      <w:r>
        <w:rPr>
          <w:lang w:val="fr-FR"/>
        </w:rPr>
        <w:lastRenderedPageBreak/>
        <w:t>Conseil d</w:t>
      </w:r>
      <w:r w:rsidR="000C4516">
        <w:rPr>
          <w:lang w:val="fr-FR"/>
        </w:rPr>
        <w:t>’</w:t>
      </w:r>
      <w:r>
        <w:rPr>
          <w:lang w:val="fr-FR"/>
        </w:rPr>
        <w:t>État litigieux, un pourvoi en cassation était admis seulement pour « </w:t>
      </w:r>
      <w:r w:rsidRPr="00F103DF">
        <w:rPr>
          <w:rFonts w:cstheme="minorHAnsi"/>
          <w:szCs w:val="24"/>
          <w:lang w:val="fr-FR"/>
        </w:rPr>
        <w:t>des motifs relatifs à la juridiction</w:t>
      </w:r>
      <w:r>
        <w:rPr>
          <w:rFonts w:cstheme="minorHAnsi"/>
          <w:szCs w:val="24"/>
          <w:lang w:val="fr-FR"/>
        </w:rPr>
        <w:t> ». Or, la jurisprudence de la Cour de cassation avait déjà précisé que le rejet d</w:t>
      </w:r>
      <w:r w:rsidR="000C4516">
        <w:rPr>
          <w:rFonts w:cstheme="minorHAnsi"/>
          <w:szCs w:val="24"/>
          <w:lang w:val="fr-FR"/>
        </w:rPr>
        <w:t>’</w:t>
      </w:r>
      <w:r>
        <w:rPr>
          <w:rFonts w:cstheme="minorHAnsi"/>
          <w:szCs w:val="24"/>
          <w:lang w:val="fr-FR"/>
        </w:rPr>
        <w:t xml:space="preserve">une demande de renvoi préjudiciel rentrait dans le pouvoir de décision du juge national, qui par un tel rejet ne dépassait pas les limites de sa juridiction (paragraphe </w:t>
      </w:r>
      <w:r>
        <w:rPr>
          <w:lang w:val="fr-FR"/>
        </w:rPr>
        <w:t>21</w:t>
      </w:r>
      <w:r>
        <w:rPr>
          <w:rFonts w:cstheme="minorHAnsi"/>
          <w:szCs w:val="24"/>
          <w:lang w:val="fr-FR"/>
        </w:rPr>
        <w:t xml:space="preserve"> ci-dessus). L</w:t>
      </w:r>
      <w:r w:rsidR="000C4516">
        <w:rPr>
          <w:rFonts w:cstheme="minorHAnsi"/>
          <w:szCs w:val="24"/>
          <w:lang w:val="fr-FR"/>
        </w:rPr>
        <w:t>’</w:t>
      </w:r>
      <w:r>
        <w:rPr>
          <w:rFonts w:cstheme="minorHAnsi"/>
          <w:szCs w:val="24"/>
          <w:lang w:val="fr-FR"/>
        </w:rPr>
        <w:t>examen de la Cour de cassation étant limité au contrôle des « limites extérieures » de la juridiction du Conseil d</w:t>
      </w:r>
      <w:r w:rsidR="000C4516">
        <w:rPr>
          <w:rFonts w:cstheme="minorHAnsi"/>
          <w:szCs w:val="24"/>
          <w:lang w:val="fr-FR"/>
        </w:rPr>
        <w:t>’</w:t>
      </w:r>
      <w:r>
        <w:rPr>
          <w:rFonts w:cstheme="minorHAnsi"/>
          <w:szCs w:val="24"/>
          <w:lang w:val="fr-FR"/>
        </w:rPr>
        <w:t>État et n</w:t>
      </w:r>
      <w:r w:rsidR="000C4516">
        <w:rPr>
          <w:rFonts w:cstheme="minorHAnsi"/>
          <w:szCs w:val="24"/>
          <w:lang w:val="fr-FR"/>
        </w:rPr>
        <w:t>’</w:t>
      </w:r>
      <w:r>
        <w:rPr>
          <w:rFonts w:cstheme="minorHAnsi"/>
          <w:szCs w:val="24"/>
          <w:lang w:val="fr-FR"/>
        </w:rPr>
        <w:t>étant pas contesté que ce dernier était l</w:t>
      </w:r>
      <w:r w:rsidR="000C4516">
        <w:rPr>
          <w:rFonts w:cstheme="minorHAnsi"/>
          <w:szCs w:val="24"/>
          <w:lang w:val="fr-FR"/>
        </w:rPr>
        <w:t>’</w:t>
      </w:r>
      <w:r>
        <w:rPr>
          <w:rFonts w:cstheme="minorHAnsi"/>
          <w:szCs w:val="24"/>
          <w:lang w:val="fr-FR"/>
        </w:rPr>
        <w:t>organe compétent à se prononcer sur l</w:t>
      </w:r>
      <w:r w:rsidR="000C4516">
        <w:rPr>
          <w:rFonts w:cstheme="minorHAnsi"/>
          <w:szCs w:val="24"/>
          <w:lang w:val="fr-FR"/>
        </w:rPr>
        <w:t>’</w:t>
      </w:r>
      <w:r>
        <w:rPr>
          <w:rFonts w:cstheme="minorHAnsi"/>
          <w:szCs w:val="24"/>
          <w:lang w:val="fr-FR"/>
        </w:rPr>
        <w:t>appel contre le jugement du TAR du Latium, la Cour considère que dans les circonstances particulières de l</w:t>
      </w:r>
      <w:r w:rsidR="000C4516">
        <w:rPr>
          <w:rFonts w:cstheme="minorHAnsi"/>
          <w:szCs w:val="24"/>
          <w:lang w:val="fr-FR"/>
        </w:rPr>
        <w:t>’</w:t>
      </w:r>
      <w:r>
        <w:rPr>
          <w:rFonts w:cstheme="minorHAnsi"/>
          <w:szCs w:val="24"/>
          <w:lang w:val="fr-FR"/>
        </w:rPr>
        <w:t>espèce le pourvoi en cassation de la requérante n</w:t>
      </w:r>
      <w:r w:rsidR="000C4516">
        <w:rPr>
          <w:rFonts w:cstheme="minorHAnsi"/>
          <w:szCs w:val="24"/>
          <w:lang w:val="fr-FR"/>
        </w:rPr>
        <w:t>’</w:t>
      </w:r>
      <w:r>
        <w:rPr>
          <w:rFonts w:cstheme="minorHAnsi"/>
          <w:szCs w:val="24"/>
          <w:lang w:val="fr-FR"/>
        </w:rPr>
        <w:t>était pas un « recours effectif » aux termes de sa jurisprudence. Il ne saurait donc pas être pris en compte pour fixer le point de départ du délai prévu à l</w:t>
      </w:r>
      <w:r w:rsidR="000C4516">
        <w:rPr>
          <w:rFonts w:cstheme="minorHAnsi"/>
          <w:szCs w:val="24"/>
          <w:lang w:val="fr-FR"/>
        </w:rPr>
        <w:t>’</w:t>
      </w:r>
      <w:r>
        <w:rPr>
          <w:rFonts w:cstheme="minorHAnsi"/>
          <w:szCs w:val="24"/>
          <w:lang w:val="fr-FR"/>
        </w:rPr>
        <w:t>a</w:t>
      </w:r>
      <w:r w:rsidR="00AF7DC3">
        <w:rPr>
          <w:rFonts w:cstheme="minorHAnsi"/>
          <w:szCs w:val="24"/>
          <w:lang w:val="fr-FR"/>
        </w:rPr>
        <w:t>rticle 35 § 1 de la Convention.</w:t>
      </w:r>
    </w:p>
    <w:p w:rsidR="00E8459A" w:rsidRDefault="00E8459A" w:rsidP="00270BD2">
      <w:pPr>
        <w:pStyle w:val="ECHRPara"/>
        <w:rPr>
          <w:lang w:val="fr-FR"/>
        </w:rPr>
      </w:pPr>
      <w:r>
        <w:rPr>
          <w:lang w:val="fr-FR"/>
        </w:rPr>
        <w:t>29.  Il en découle que la décision interne définitive, concernant le grief de la requérante tiré du refus de poser à la CJUE une question préjudicielle portant sur l</w:t>
      </w:r>
      <w:r w:rsidR="000C4516">
        <w:rPr>
          <w:lang w:val="fr-FR"/>
        </w:rPr>
        <w:t>’</w:t>
      </w:r>
      <w:r>
        <w:rPr>
          <w:lang w:val="fr-FR"/>
        </w:rPr>
        <w:t>interprétation de l</w:t>
      </w:r>
      <w:r w:rsidR="000C4516">
        <w:rPr>
          <w:lang w:val="fr-FR"/>
        </w:rPr>
        <w:t>’</w:t>
      </w:r>
      <w:r>
        <w:rPr>
          <w:lang w:val="fr-FR"/>
        </w:rPr>
        <w:t>article 82 du traité CE est l</w:t>
      </w:r>
      <w:r w:rsidR="000C4516">
        <w:rPr>
          <w:lang w:val="fr-FR"/>
        </w:rPr>
        <w:t>’</w:t>
      </w:r>
      <w:r>
        <w:rPr>
          <w:lang w:val="fr-FR"/>
        </w:rPr>
        <w:t>arrêt du Conseil d</w:t>
      </w:r>
      <w:r w:rsidR="000C4516">
        <w:rPr>
          <w:lang w:val="fr-FR"/>
        </w:rPr>
        <w:t>’</w:t>
      </w:r>
      <w:r>
        <w:rPr>
          <w:lang w:val="fr-FR"/>
        </w:rPr>
        <w:t>État du 15 mars 2011, dont le texte a été déposé au greffe le 20</w:t>
      </w:r>
      <w:r w:rsidR="00AF7DC3">
        <w:rPr>
          <w:lang w:val="fr-FR"/>
        </w:rPr>
        <w:t xml:space="preserve"> </w:t>
      </w:r>
      <w:r>
        <w:rPr>
          <w:lang w:val="fr-FR"/>
        </w:rPr>
        <w:t>avril 2011, soit plus de six mois avant la date d</w:t>
      </w:r>
      <w:r w:rsidR="000C4516">
        <w:rPr>
          <w:lang w:val="fr-FR"/>
        </w:rPr>
        <w:t>’</w:t>
      </w:r>
      <w:r>
        <w:rPr>
          <w:lang w:val="fr-FR"/>
        </w:rPr>
        <w:t>introduction de la requête (</w:t>
      </w:r>
      <w:r w:rsidRPr="00BB292C">
        <w:rPr>
          <w:lang w:val="fr-FR"/>
        </w:rPr>
        <w:t>30 décembre 2013</w:t>
      </w:r>
      <w:r>
        <w:rPr>
          <w:lang w:val="fr-FR"/>
        </w:rPr>
        <w:t>).</w:t>
      </w:r>
    </w:p>
    <w:p w:rsidR="00E8459A" w:rsidRPr="0072720E" w:rsidRDefault="00E8459A" w:rsidP="00270BD2">
      <w:pPr>
        <w:pStyle w:val="ECHRPara"/>
        <w:rPr>
          <w:lang w:val="fr-FR"/>
        </w:rPr>
      </w:pPr>
      <w:r>
        <w:rPr>
          <w:lang w:val="fr-FR"/>
        </w:rPr>
        <w:t>30.  </w:t>
      </w:r>
      <w:r w:rsidRPr="00C75BBD">
        <w:rPr>
          <w:lang w:val="fr-FR"/>
        </w:rPr>
        <w:t>Il s</w:t>
      </w:r>
      <w:r w:rsidR="000C4516">
        <w:rPr>
          <w:lang w:val="fr-FR"/>
        </w:rPr>
        <w:t>’</w:t>
      </w:r>
      <w:r w:rsidRPr="00C75BBD">
        <w:rPr>
          <w:lang w:val="fr-FR"/>
        </w:rPr>
        <w:t>ensuit que ce grief est tardif et doit être rejeté en application de l</w:t>
      </w:r>
      <w:r w:rsidR="000C4516">
        <w:rPr>
          <w:lang w:val="fr-FR"/>
        </w:rPr>
        <w:t>’</w:t>
      </w:r>
      <w:r w:rsidRPr="00C75BBD">
        <w:rPr>
          <w:lang w:val="fr-FR"/>
        </w:rPr>
        <w:t>article</w:t>
      </w:r>
      <w:r w:rsidR="00AF7DC3">
        <w:rPr>
          <w:lang w:val="fr-FR"/>
        </w:rPr>
        <w:t xml:space="preserve"> </w:t>
      </w:r>
      <w:r w:rsidRPr="00C75BBD">
        <w:rPr>
          <w:lang w:val="fr-FR"/>
        </w:rPr>
        <w:t>35 §§</w:t>
      </w:r>
      <w:r w:rsidR="00AF7DC3">
        <w:rPr>
          <w:lang w:val="fr-FR"/>
        </w:rPr>
        <w:t xml:space="preserve"> </w:t>
      </w:r>
      <w:r w:rsidRPr="00C75BBD">
        <w:rPr>
          <w:lang w:val="fr-FR"/>
        </w:rPr>
        <w:t>1 et</w:t>
      </w:r>
      <w:r w:rsidR="00AF7DC3">
        <w:rPr>
          <w:lang w:val="fr-FR"/>
        </w:rPr>
        <w:t xml:space="preserve"> </w:t>
      </w:r>
      <w:r w:rsidRPr="00C75BBD">
        <w:rPr>
          <w:lang w:val="fr-FR"/>
        </w:rPr>
        <w:t>4 de la Convention.</w:t>
      </w:r>
    </w:p>
    <w:p w:rsidR="00E8459A" w:rsidRDefault="00E8459A" w:rsidP="00270BD2">
      <w:pPr>
        <w:pStyle w:val="ECHRHeading2"/>
        <w:rPr>
          <w:lang w:val="fr-FR"/>
        </w:rPr>
      </w:pPr>
      <w:r>
        <w:rPr>
          <w:lang w:val="fr-FR"/>
        </w:rPr>
        <w:t>B.  Le grief tiré d</w:t>
      </w:r>
      <w:r w:rsidR="000C4516">
        <w:rPr>
          <w:lang w:val="fr-FR"/>
        </w:rPr>
        <w:t>’</w:t>
      </w:r>
      <w:r>
        <w:rPr>
          <w:lang w:val="fr-FR"/>
        </w:rPr>
        <w:t>une méconnaissance des principes du procès équitable par la Cour de cassation</w:t>
      </w:r>
    </w:p>
    <w:p w:rsidR="00E8459A" w:rsidRDefault="00E8459A" w:rsidP="00270BD2">
      <w:pPr>
        <w:pStyle w:val="ECHRPara"/>
        <w:rPr>
          <w:lang w:val="fr-FR"/>
        </w:rPr>
      </w:pPr>
      <w:r>
        <w:rPr>
          <w:lang w:val="fr-FR"/>
        </w:rPr>
        <w:t>31.  La requérante considère en outre qu</w:t>
      </w:r>
      <w:r w:rsidR="000C4516">
        <w:rPr>
          <w:lang w:val="fr-FR"/>
        </w:rPr>
        <w:t>’</w:t>
      </w:r>
      <w:r>
        <w:rPr>
          <w:lang w:val="fr-FR"/>
        </w:rPr>
        <w:t>en affirmant que la CJEU n</w:t>
      </w:r>
      <w:r w:rsidR="000C4516">
        <w:rPr>
          <w:lang w:val="fr-FR"/>
        </w:rPr>
        <w:t>’</w:t>
      </w:r>
      <w:r>
        <w:rPr>
          <w:lang w:val="fr-FR"/>
        </w:rPr>
        <w:t xml:space="preserve">avait pas une « juridiction exclusive » </w:t>
      </w:r>
      <w:r w:rsidRPr="001D770D">
        <w:rPr>
          <w:i/>
          <w:lang w:val="fr-FR"/>
        </w:rPr>
        <w:t>stricto sensu</w:t>
      </w:r>
      <w:r>
        <w:rPr>
          <w:lang w:val="fr-FR"/>
        </w:rPr>
        <w:t>, la Cour de cassation a violé l</w:t>
      </w:r>
      <w:r w:rsidR="000C4516">
        <w:rPr>
          <w:lang w:val="fr-FR"/>
        </w:rPr>
        <w:t>’</w:t>
      </w:r>
      <w:r>
        <w:rPr>
          <w:lang w:val="fr-FR"/>
        </w:rPr>
        <w:t>article 267 du TFUE. La Cour de cassation aurait en outre méconnu les principes du procès équitable en omettant de poser à la CJUE une question préjudicielle sur l</w:t>
      </w:r>
      <w:r w:rsidR="000C4516">
        <w:rPr>
          <w:lang w:val="fr-FR"/>
        </w:rPr>
        <w:t>’</w:t>
      </w:r>
      <w:r>
        <w:rPr>
          <w:lang w:val="fr-FR"/>
        </w:rPr>
        <w:t>interprétation de l</w:t>
      </w:r>
      <w:r w:rsidR="000C4516">
        <w:rPr>
          <w:lang w:val="fr-FR"/>
        </w:rPr>
        <w:t>’</w:t>
      </w:r>
      <w:r>
        <w:rPr>
          <w:lang w:val="fr-FR"/>
        </w:rPr>
        <w:t>article 267 précité.</w:t>
      </w:r>
    </w:p>
    <w:p w:rsidR="00E8459A" w:rsidRDefault="00E8459A" w:rsidP="00270BD2">
      <w:pPr>
        <w:pStyle w:val="ECHRPara"/>
        <w:rPr>
          <w:lang w:val="fr-FR"/>
        </w:rPr>
      </w:pPr>
      <w:r>
        <w:rPr>
          <w:lang w:val="fr-FR"/>
        </w:rPr>
        <w:t>32.  Dans la mesure où la requérante se plaint de l</w:t>
      </w:r>
      <w:r w:rsidR="000C4516">
        <w:rPr>
          <w:lang w:val="fr-FR"/>
        </w:rPr>
        <w:t>’</w:t>
      </w:r>
      <w:r>
        <w:rPr>
          <w:lang w:val="fr-FR"/>
        </w:rPr>
        <w:t>interprétation donnée par la Cour de cassation à l</w:t>
      </w:r>
      <w:r w:rsidR="000C4516">
        <w:rPr>
          <w:lang w:val="fr-FR"/>
        </w:rPr>
        <w:t>’</w:t>
      </w:r>
      <w:r>
        <w:rPr>
          <w:lang w:val="fr-FR"/>
        </w:rPr>
        <w:t>article 267 du TFUE, la Cour rappelle qu</w:t>
      </w:r>
      <w:r w:rsidR="000C4516">
        <w:rPr>
          <w:lang w:val="fr-FR"/>
        </w:rPr>
        <w:t>’</w:t>
      </w:r>
      <w:r w:rsidRPr="00B44D67">
        <w:rPr>
          <w:lang w:val="fr-FR"/>
        </w:rPr>
        <w:t>il ne lui appartient pas de connaître des erreurs de fait ou de droit prétendument commises par une juridiction interne, sauf si et dans la mesure où elles pourraient avoir porté atteinte aux droits et libertés sauvegardés pa</w:t>
      </w:r>
      <w:r>
        <w:rPr>
          <w:lang w:val="fr-FR"/>
        </w:rPr>
        <w:t>r la Convention (voir, parmi beaucoup d</w:t>
      </w:r>
      <w:r w:rsidR="000C4516">
        <w:rPr>
          <w:lang w:val="fr-FR"/>
        </w:rPr>
        <w:t>’</w:t>
      </w:r>
      <w:r>
        <w:rPr>
          <w:lang w:val="fr-FR"/>
        </w:rPr>
        <w:t>autres,</w:t>
      </w:r>
      <w:r w:rsidRPr="00B44D67">
        <w:rPr>
          <w:lang w:val="fr-FR"/>
        </w:rPr>
        <w:t xml:space="preserve"> </w:t>
      </w:r>
      <w:r w:rsidRPr="0030182C">
        <w:rPr>
          <w:i/>
          <w:lang w:val="fr-FR"/>
        </w:rPr>
        <w:t xml:space="preserve">García Ruiz c. Espagne </w:t>
      </w:r>
      <w:r w:rsidRPr="00B44D67">
        <w:rPr>
          <w:lang w:val="fr-FR"/>
        </w:rPr>
        <w:t>[GC], n</w:t>
      </w:r>
      <w:r w:rsidRPr="00E8459A">
        <w:rPr>
          <w:vertAlign w:val="superscript"/>
          <w:lang w:val="fr-FR"/>
        </w:rPr>
        <w:t>o</w:t>
      </w:r>
      <w:r w:rsidRPr="00B44D67">
        <w:rPr>
          <w:lang w:val="fr-FR"/>
        </w:rPr>
        <w:t xml:space="preserve"> </w:t>
      </w:r>
      <w:r>
        <w:rPr>
          <w:lang w:val="fr-FR"/>
        </w:rPr>
        <w:t>30544/96</w:t>
      </w:r>
      <w:r w:rsidRPr="00B44D67">
        <w:rPr>
          <w:lang w:val="fr-FR"/>
        </w:rPr>
        <w:t>, § 28, CEDH 199</w:t>
      </w:r>
      <w:r>
        <w:rPr>
          <w:lang w:val="fr-FR"/>
        </w:rPr>
        <w:t>9-</w:t>
      </w:r>
      <w:r w:rsidRPr="00B44D67">
        <w:rPr>
          <w:lang w:val="fr-FR"/>
        </w:rPr>
        <w:t>I</w:t>
      </w:r>
      <w:r>
        <w:rPr>
          <w:lang w:val="fr-FR"/>
        </w:rPr>
        <w:t xml:space="preserve"> ; </w:t>
      </w:r>
      <w:r w:rsidRPr="00652F22">
        <w:rPr>
          <w:i/>
          <w:lang w:val="fr-FR"/>
        </w:rPr>
        <w:t>Khan c.</w:t>
      </w:r>
      <w:r w:rsidR="00AF7DC3">
        <w:rPr>
          <w:i/>
          <w:lang w:val="fr-FR"/>
        </w:rPr>
        <w:t xml:space="preserve"> </w:t>
      </w:r>
      <w:r w:rsidRPr="00652F22">
        <w:rPr>
          <w:i/>
          <w:lang w:val="fr-FR"/>
        </w:rPr>
        <w:t>Royaume-Uni</w:t>
      </w:r>
      <w:r w:rsidRPr="00652F22">
        <w:rPr>
          <w:lang w:val="fr-FR"/>
        </w:rPr>
        <w:t>, n</w:t>
      </w:r>
      <w:r w:rsidRPr="00D77D93">
        <w:rPr>
          <w:vertAlign w:val="superscript"/>
          <w:lang w:val="fr-FR"/>
        </w:rPr>
        <w:t>o</w:t>
      </w:r>
      <w:r w:rsidR="00AF7DC3">
        <w:rPr>
          <w:lang w:val="fr-FR"/>
        </w:rPr>
        <w:t xml:space="preserve"> </w:t>
      </w:r>
      <w:r w:rsidRPr="00652F22">
        <w:rPr>
          <w:lang w:val="fr-FR"/>
        </w:rPr>
        <w:t>35394/97, §</w:t>
      </w:r>
      <w:r>
        <w:rPr>
          <w:lang w:val="fr-FR"/>
        </w:rPr>
        <w:t> </w:t>
      </w:r>
      <w:r w:rsidRPr="00652F22">
        <w:rPr>
          <w:lang w:val="fr-FR"/>
        </w:rPr>
        <w:t>34, CEDH 2000-V</w:t>
      </w:r>
      <w:r>
        <w:rPr>
          <w:lang w:val="fr-FR"/>
        </w:rPr>
        <w:t> ;</w:t>
      </w:r>
      <w:r w:rsidRPr="00B44D67">
        <w:rPr>
          <w:lang w:val="fr-FR"/>
        </w:rPr>
        <w:t xml:space="preserve"> et </w:t>
      </w:r>
      <w:r w:rsidRPr="00B44D67">
        <w:rPr>
          <w:i/>
          <w:lang w:val="fr-FR"/>
        </w:rPr>
        <w:t>Rizos et Daskas c. Grèce</w:t>
      </w:r>
      <w:r w:rsidRPr="00B44D67">
        <w:rPr>
          <w:lang w:val="fr-FR"/>
        </w:rPr>
        <w:t>, n</w:t>
      </w:r>
      <w:r w:rsidRPr="00E8459A">
        <w:rPr>
          <w:vertAlign w:val="superscript"/>
          <w:lang w:val="fr-FR"/>
        </w:rPr>
        <w:t>o</w:t>
      </w:r>
      <w:r w:rsidRPr="00B44D67">
        <w:rPr>
          <w:lang w:val="fr-FR"/>
        </w:rPr>
        <w:t xml:space="preserve"> </w:t>
      </w:r>
      <w:r>
        <w:rPr>
          <w:lang w:val="fr-FR"/>
        </w:rPr>
        <w:t>65545/01</w:t>
      </w:r>
      <w:r w:rsidRPr="00B44D67">
        <w:rPr>
          <w:lang w:val="fr-FR"/>
        </w:rPr>
        <w:t>, § 26, 27</w:t>
      </w:r>
      <w:r>
        <w:rPr>
          <w:lang w:val="fr-FR"/>
        </w:rPr>
        <w:t> </w:t>
      </w:r>
      <w:r w:rsidRPr="00B44D67">
        <w:rPr>
          <w:lang w:val="fr-FR"/>
        </w:rPr>
        <w:t>mai 2004)</w:t>
      </w:r>
      <w:r w:rsidRPr="00652F22">
        <w:rPr>
          <w:lang w:val="fr-FR"/>
        </w:rPr>
        <w:t>,</w:t>
      </w:r>
      <w:r w:rsidRPr="000D5AF9">
        <w:rPr>
          <w:lang w:val="fr-FR"/>
        </w:rPr>
        <w:t xml:space="preserve"> et il revient en principe aux juridictions nationales d</w:t>
      </w:r>
      <w:r w:rsidR="000C4516">
        <w:rPr>
          <w:lang w:val="fr-FR"/>
        </w:rPr>
        <w:t>’</w:t>
      </w:r>
      <w:r w:rsidRPr="000D5AF9">
        <w:rPr>
          <w:lang w:val="fr-FR"/>
        </w:rPr>
        <w:t>apprécier les faits et d</w:t>
      </w:r>
      <w:r w:rsidR="000C4516">
        <w:rPr>
          <w:lang w:val="fr-FR"/>
        </w:rPr>
        <w:t>’</w:t>
      </w:r>
      <w:r w:rsidRPr="000D5AF9">
        <w:rPr>
          <w:lang w:val="fr-FR"/>
        </w:rPr>
        <w:t>interpréter et appliquer le droit interne (</w:t>
      </w:r>
      <w:r w:rsidRPr="00CB7C13">
        <w:rPr>
          <w:i/>
          <w:lang w:val="fr-FR"/>
        </w:rPr>
        <w:t>Pacifico c.</w:t>
      </w:r>
      <w:r>
        <w:rPr>
          <w:i/>
          <w:lang w:val="fr-FR"/>
        </w:rPr>
        <w:t> </w:t>
      </w:r>
      <w:r w:rsidRPr="00CB7C13">
        <w:rPr>
          <w:i/>
          <w:lang w:val="fr-FR"/>
        </w:rPr>
        <w:t>Italie</w:t>
      </w:r>
      <w:r>
        <w:rPr>
          <w:lang w:val="fr-FR"/>
        </w:rPr>
        <w:t xml:space="preserve"> (</w:t>
      </w:r>
      <w:r w:rsidRPr="000D5AF9">
        <w:rPr>
          <w:lang w:val="fr-FR"/>
        </w:rPr>
        <w:t>déc</w:t>
      </w:r>
      <w:r>
        <w:rPr>
          <w:lang w:val="fr-FR"/>
        </w:rPr>
        <w:t>.)</w:t>
      </w:r>
      <w:r w:rsidRPr="000D5AF9">
        <w:rPr>
          <w:lang w:val="fr-FR"/>
        </w:rPr>
        <w:t>,</w:t>
      </w:r>
      <w:r>
        <w:rPr>
          <w:lang w:val="fr-FR"/>
        </w:rPr>
        <w:t xml:space="preserve"> </w:t>
      </w:r>
      <w:r w:rsidRPr="00CB7C13">
        <w:rPr>
          <w:lang w:val="fr-FR"/>
        </w:rPr>
        <w:t>n</w:t>
      </w:r>
      <w:r w:rsidRPr="00D77D93">
        <w:rPr>
          <w:vertAlign w:val="superscript"/>
          <w:lang w:val="fr-FR"/>
        </w:rPr>
        <w:t>o</w:t>
      </w:r>
      <w:r w:rsidR="00AF7DC3">
        <w:rPr>
          <w:vertAlign w:val="superscript"/>
          <w:lang w:val="fr-FR"/>
        </w:rPr>
        <w:t xml:space="preserve"> </w:t>
      </w:r>
      <w:r>
        <w:rPr>
          <w:lang w:val="fr-FR"/>
        </w:rPr>
        <w:t>17995/08</w:t>
      </w:r>
      <w:r w:rsidRPr="00CB7C13">
        <w:rPr>
          <w:lang w:val="fr-FR"/>
        </w:rPr>
        <w:t>, §</w:t>
      </w:r>
      <w:r w:rsidR="00AF7DC3">
        <w:rPr>
          <w:lang w:val="fr-FR"/>
        </w:rPr>
        <w:t xml:space="preserve"> </w:t>
      </w:r>
      <w:r w:rsidRPr="00CB7C13">
        <w:rPr>
          <w:lang w:val="fr-FR"/>
        </w:rPr>
        <w:t>6</w:t>
      </w:r>
      <w:r>
        <w:rPr>
          <w:lang w:val="fr-FR"/>
        </w:rPr>
        <w:t>2</w:t>
      </w:r>
      <w:r w:rsidRPr="00CB7C13">
        <w:rPr>
          <w:lang w:val="fr-FR"/>
        </w:rPr>
        <w:t>, 20</w:t>
      </w:r>
      <w:r w:rsidR="00AF7DC3">
        <w:rPr>
          <w:lang w:val="fr-FR"/>
        </w:rPr>
        <w:t xml:space="preserve"> </w:t>
      </w:r>
      <w:r w:rsidRPr="00CB7C13">
        <w:rPr>
          <w:lang w:val="fr-FR"/>
        </w:rPr>
        <w:t>novembre 2012</w:t>
      </w:r>
      <w:r>
        <w:rPr>
          <w:lang w:val="fr-FR"/>
        </w:rPr>
        <w:t xml:space="preserve">, et </w:t>
      </w:r>
      <w:r>
        <w:rPr>
          <w:i/>
          <w:lang w:val="fr-FR"/>
        </w:rPr>
        <w:t xml:space="preserve">Plesic c. Italie </w:t>
      </w:r>
      <w:r>
        <w:rPr>
          <w:lang w:val="fr-FR"/>
        </w:rPr>
        <w:t>(déc.), n</w:t>
      </w:r>
      <w:r w:rsidRPr="00D77D93">
        <w:rPr>
          <w:vertAlign w:val="superscript"/>
          <w:lang w:val="fr-FR"/>
        </w:rPr>
        <w:t>o</w:t>
      </w:r>
      <w:r w:rsidR="00AF7DC3">
        <w:rPr>
          <w:lang w:val="fr-FR"/>
        </w:rPr>
        <w:t xml:space="preserve"> </w:t>
      </w:r>
      <w:r>
        <w:rPr>
          <w:lang w:val="fr-FR"/>
        </w:rPr>
        <w:t xml:space="preserve">16065/09, § 33, </w:t>
      </w:r>
      <w:r w:rsidRPr="00CB7C13">
        <w:rPr>
          <w:lang w:val="fr-FR"/>
        </w:rPr>
        <w:t>2 juillet 2013</w:t>
      </w:r>
      <w:r w:rsidRPr="000D5AF9">
        <w:rPr>
          <w:lang w:val="fr-FR"/>
        </w:rPr>
        <w:t>)</w:t>
      </w:r>
      <w:r>
        <w:rPr>
          <w:lang w:val="fr-FR"/>
        </w:rPr>
        <w:t>.</w:t>
      </w:r>
    </w:p>
    <w:p w:rsidR="00E8459A" w:rsidRPr="00B90BA8" w:rsidRDefault="00E8459A" w:rsidP="00270BD2">
      <w:pPr>
        <w:pStyle w:val="ECHRPara"/>
        <w:rPr>
          <w:lang w:val="fr-FR"/>
        </w:rPr>
      </w:pPr>
      <w:r>
        <w:rPr>
          <w:lang w:val="fr-FR"/>
        </w:rPr>
        <w:t>33.  En l</w:t>
      </w:r>
      <w:r w:rsidR="000C4516">
        <w:rPr>
          <w:lang w:val="fr-FR"/>
        </w:rPr>
        <w:t>’</w:t>
      </w:r>
      <w:r>
        <w:rPr>
          <w:lang w:val="fr-FR"/>
        </w:rPr>
        <w:t>espèce, la Cour a examiné les griefs de la requérante mettant en cause le caractère suffisant et pertinent en droit de l</w:t>
      </w:r>
      <w:r w:rsidR="000C4516">
        <w:rPr>
          <w:lang w:val="fr-FR"/>
        </w:rPr>
        <w:t>’</w:t>
      </w:r>
      <w:r>
        <w:rPr>
          <w:lang w:val="fr-FR"/>
        </w:rPr>
        <w:t xml:space="preserve">UE des arguments </w:t>
      </w:r>
      <w:r>
        <w:rPr>
          <w:lang w:val="fr-FR"/>
        </w:rPr>
        <w:lastRenderedPageBreak/>
        <w:t>avancés par la Cour de cassation pour rejeter son pourvoi, et elle n</w:t>
      </w:r>
      <w:r w:rsidR="000C4516">
        <w:rPr>
          <w:lang w:val="fr-FR"/>
        </w:rPr>
        <w:t>’</w:t>
      </w:r>
      <w:r>
        <w:rPr>
          <w:lang w:val="fr-FR"/>
        </w:rPr>
        <w:t>a relevé aucune apparence de violation des principes du procès équitable. Il convient également de rappeler que l</w:t>
      </w:r>
      <w:r w:rsidRPr="00B90BA8">
        <w:rPr>
          <w:lang w:val="fr-FR"/>
        </w:rPr>
        <w:t>a mission</w:t>
      </w:r>
      <w:r>
        <w:rPr>
          <w:lang w:val="fr-FR"/>
        </w:rPr>
        <w:t xml:space="preserve"> de la Cour</w:t>
      </w:r>
      <w:r w:rsidRPr="00B90BA8">
        <w:rPr>
          <w:lang w:val="fr-FR"/>
        </w:rPr>
        <w:t xml:space="preserve"> se limite à l</w:t>
      </w:r>
      <w:r w:rsidR="000C4516">
        <w:rPr>
          <w:lang w:val="fr-FR"/>
        </w:rPr>
        <w:t>’</w:t>
      </w:r>
      <w:r w:rsidRPr="00B90BA8">
        <w:rPr>
          <w:lang w:val="fr-FR"/>
        </w:rPr>
        <w:t>application de la Convention, et qu</w:t>
      </w:r>
      <w:r w:rsidR="000C4516">
        <w:rPr>
          <w:lang w:val="fr-FR"/>
        </w:rPr>
        <w:t>’</w:t>
      </w:r>
      <w:r w:rsidRPr="00B90BA8">
        <w:rPr>
          <w:lang w:val="fr-FR"/>
        </w:rPr>
        <w:t>elle n</w:t>
      </w:r>
      <w:r w:rsidR="000C4516">
        <w:rPr>
          <w:lang w:val="fr-FR"/>
        </w:rPr>
        <w:t>’</w:t>
      </w:r>
      <w:r w:rsidRPr="00B90BA8">
        <w:rPr>
          <w:lang w:val="fr-FR"/>
        </w:rPr>
        <w:t>est pas compétente pour faire application d</w:t>
      </w:r>
      <w:r w:rsidR="000C4516">
        <w:rPr>
          <w:lang w:val="fr-FR"/>
        </w:rPr>
        <w:t>’</w:t>
      </w:r>
      <w:r w:rsidRPr="00B90BA8">
        <w:rPr>
          <w:lang w:val="fr-FR"/>
        </w:rPr>
        <w:t xml:space="preserve">autres traités internationaux en tant que tels ou en surveiller le respect (voir, </w:t>
      </w:r>
      <w:r w:rsidRPr="00B90BA8">
        <w:rPr>
          <w:i/>
          <w:lang w:val="fr-FR"/>
        </w:rPr>
        <w:t>mutatis mutandis</w:t>
      </w:r>
      <w:r w:rsidRPr="00B90BA8">
        <w:rPr>
          <w:lang w:val="fr-FR"/>
        </w:rPr>
        <w:t xml:space="preserve">, </w:t>
      </w:r>
      <w:r w:rsidRPr="00B90BA8">
        <w:rPr>
          <w:i/>
          <w:lang w:val="fr-FR"/>
        </w:rPr>
        <w:t>Di Giovine c.</w:t>
      </w:r>
      <w:r w:rsidR="008A78C5">
        <w:rPr>
          <w:i/>
          <w:lang w:val="fr-FR"/>
        </w:rPr>
        <w:t xml:space="preserve"> </w:t>
      </w:r>
      <w:r w:rsidRPr="00B90BA8">
        <w:rPr>
          <w:i/>
          <w:lang w:val="fr-FR"/>
        </w:rPr>
        <w:t>Portugal</w:t>
      </w:r>
      <w:r w:rsidRPr="00B90BA8">
        <w:rPr>
          <w:lang w:val="fr-FR"/>
        </w:rPr>
        <w:t xml:space="preserve"> (déc.), n</w:t>
      </w:r>
      <w:r w:rsidRPr="00B90BA8">
        <w:rPr>
          <w:vertAlign w:val="superscript"/>
          <w:lang w:val="fr-FR"/>
        </w:rPr>
        <w:t>o</w:t>
      </w:r>
      <w:r w:rsidR="008A78C5">
        <w:rPr>
          <w:lang w:val="fr-FR"/>
        </w:rPr>
        <w:t xml:space="preserve"> </w:t>
      </w:r>
      <w:r w:rsidR="006562FA">
        <w:rPr>
          <w:lang w:val="fr-FR"/>
        </w:rPr>
        <w:t>39912/98, 31 août </w:t>
      </w:r>
      <w:r w:rsidRPr="00B90BA8">
        <w:rPr>
          <w:lang w:val="fr-FR"/>
        </w:rPr>
        <w:t>1999</w:t>
      </w:r>
      <w:r>
        <w:rPr>
          <w:lang w:val="fr-FR"/>
        </w:rPr>
        <w:t> ;</w:t>
      </w:r>
      <w:r w:rsidRPr="00B90BA8">
        <w:rPr>
          <w:lang w:val="fr-FR"/>
        </w:rPr>
        <w:t xml:space="preserve"> </w:t>
      </w:r>
      <w:r w:rsidRPr="00B90BA8">
        <w:rPr>
          <w:i/>
          <w:lang w:val="fr-FR"/>
        </w:rPr>
        <w:t>Hermida Paz c.</w:t>
      </w:r>
      <w:r w:rsidR="008A78C5">
        <w:rPr>
          <w:i/>
          <w:lang w:val="fr-FR"/>
        </w:rPr>
        <w:t xml:space="preserve"> </w:t>
      </w:r>
      <w:r w:rsidRPr="00B90BA8">
        <w:rPr>
          <w:i/>
          <w:lang w:val="fr-FR"/>
        </w:rPr>
        <w:t xml:space="preserve">Espagne </w:t>
      </w:r>
      <w:r w:rsidRPr="00B90BA8">
        <w:rPr>
          <w:lang w:val="fr-FR"/>
        </w:rPr>
        <w:t>(déc.), n</w:t>
      </w:r>
      <w:r w:rsidRPr="00B90BA8">
        <w:rPr>
          <w:vertAlign w:val="superscript"/>
          <w:lang w:val="fr-FR"/>
        </w:rPr>
        <w:t>o</w:t>
      </w:r>
      <w:r w:rsidR="008A78C5">
        <w:rPr>
          <w:lang w:val="fr-FR"/>
        </w:rPr>
        <w:t xml:space="preserve"> </w:t>
      </w:r>
      <w:r w:rsidRPr="00B90BA8">
        <w:rPr>
          <w:lang w:val="fr-FR"/>
        </w:rPr>
        <w:t>4160/02, 28 janvier 2003</w:t>
      </w:r>
      <w:r>
        <w:rPr>
          <w:lang w:val="fr-FR"/>
        </w:rPr>
        <w:t xml:space="preserve"> ; et </w:t>
      </w:r>
      <w:r>
        <w:rPr>
          <w:i/>
          <w:lang w:val="fr-FR"/>
        </w:rPr>
        <w:t xml:space="preserve">Occhetto c. Italie </w:t>
      </w:r>
      <w:r>
        <w:rPr>
          <w:lang w:val="fr-FR"/>
        </w:rPr>
        <w:t>(déc.), n</w:t>
      </w:r>
      <w:r w:rsidRPr="00E8459A">
        <w:rPr>
          <w:vertAlign w:val="superscript"/>
          <w:lang w:val="fr-FR"/>
        </w:rPr>
        <w:t>o</w:t>
      </w:r>
      <w:r>
        <w:rPr>
          <w:lang w:val="fr-FR"/>
        </w:rPr>
        <w:t xml:space="preserve"> </w:t>
      </w:r>
      <w:r w:rsidRPr="00B90BA8">
        <w:rPr>
          <w:lang w:val="fr-FR"/>
        </w:rPr>
        <w:t>14507/07</w:t>
      </w:r>
      <w:r>
        <w:rPr>
          <w:lang w:val="fr-FR"/>
        </w:rPr>
        <w:t>, § 54, 12 novembre 2013</w:t>
      </w:r>
      <w:r w:rsidRPr="00B90BA8">
        <w:rPr>
          <w:lang w:val="fr-FR"/>
        </w:rPr>
        <w:t>).</w:t>
      </w:r>
    </w:p>
    <w:p w:rsidR="00E8459A" w:rsidRPr="009556E4" w:rsidRDefault="00E8459A" w:rsidP="00270BD2">
      <w:pPr>
        <w:pStyle w:val="ECHRPara"/>
        <w:rPr>
          <w:lang w:val="fr-FR"/>
        </w:rPr>
      </w:pPr>
      <w:r>
        <w:rPr>
          <w:lang w:val="fr-FR"/>
        </w:rPr>
        <w:t>34.  Pour ce qui est du rejet, par la Cour de cassation, de la demande de la requérante de poser à la CJUE une question préjudicielle portant sur l</w:t>
      </w:r>
      <w:r w:rsidR="000C4516">
        <w:rPr>
          <w:lang w:val="fr-FR"/>
        </w:rPr>
        <w:t>’</w:t>
      </w:r>
      <w:r>
        <w:rPr>
          <w:lang w:val="fr-FR"/>
        </w:rPr>
        <w:t>interprétation de l</w:t>
      </w:r>
      <w:r w:rsidR="000C4516">
        <w:rPr>
          <w:lang w:val="fr-FR"/>
        </w:rPr>
        <w:t>’</w:t>
      </w:r>
      <w:r>
        <w:rPr>
          <w:lang w:val="fr-FR"/>
        </w:rPr>
        <w:t xml:space="preserve">article 267 du TFUE, la </w:t>
      </w:r>
      <w:r w:rsidRPr="009556E4">
        <w:rPr>
          <w:lang w:val="fr-FR"/>
        </w:rPr>
        <w:t>Cour rappelle que</w:t>
      </w:r>
      <w:r>
        <w:rPr>
          <w:lang w:val="fr-FR"/>
        </w:rPr>
        <w:t>,</w:t>
      </w:r>
      <w:r w:rsidRPr="009556E4">
        <w:rPr>
          <w:lang w:val="fr-FR"/>
        </w:rPr>
        <w:t xml:space="preserve"> dans </w:t>
      </w:r>
      <w:r>
        <w:rPr>
          <w:lang w:val="fr-FR"/>
        </w:rPr>
        <w:t>sa décision</w:t>
      </w:r>
      <w:r w:rsidRPr="009556E4">
        <w:rPr>
          <w:lang w:val="fr-FR"/>
        </w:rPr>
        <w:t xml:space="preserve"> </w:t>
      </w:r>
      <w:r w:rsidRPr="009556E4">
        <w:rPr>
          <w:i/>
          <w:lang w:val="fr-FR"/>
        </w:rPr>
        <w:t>Vergauwen et autres</w:t>
      </w:r>
      <w:r>
        <w:rPr>
          <w:i/>
          <w:lang w:val="fr-FR"/>
        </w:rPr>
        <w:t xml:space="preserve"> c. Belgique</w:t>
      </w:r>
      <w:r w:rsidRPr="009556E4">
        <w:rPr>
          <w:i/>
          <w:lang w:val="fr-FR"/>
        </w:rPr>
        <w:t xml:space="preserve"> </w:t>
      </w:r>
      <w:r w:rsidRPr="009556E4">
        <w:rPr>
          <w:lang w:val="fr-FR"/>
        </w:rPr>
        <w:t>(</w:t>
      </w:r>
      <w:r w:rsidRPr="009A3433">
        <w:rPr>
          <w:lang w:val="fr-FR"/>
        </w:rPr>
        <w:t>(déc.), n</w:t>
      </w:r>
      <w:r w:rsidRPr="009A3433">
        <w:rPr>
          <w:vertAlign w:val="superscript"/>
          <w:lang w:val="fr-FR"/>
        </w:rPr>
        <w:t>o</w:t>
      </w:r>
      <w:r w:rsidR="008A78C5">
        <w:rPr>
          <w:lang w:val="fr-FR"/>
        </w:rPr>
        <w:t xml:space="preserve"> </w:t>
      </w:r>
      <w:r w:rsidRPr="009A3433">
        <w:rPr>
          <w:lang w:val="fr-FR"/>
        </w:rPr>
        <w:t>4832/04, §§ 89-90, 10</w:t>
      </w:r>
      <w:r>
        <w:rPr>
          <w:lang w:val="fr-FR"/>
        </w:rPr>
        <w:t> </w:t>
      </w:r>
      <w:r w:rsidRPr="009556E4">
        <w:rPr>
          <w:lang w:val="fr-FR"/>
        </w:rPr>
        <w:t>avril 2012</w:t>
      </w:r>
      <w:r>
        <w:rPr>
          <w:lang w:val="fr-FR"/>
        </w:rPr>
        <w:t>)</w:t>
      </w:r>
      <w:r w:rsidRPr="009556E4">
        <w:rPr>
          <w:lang w:val="fr-FR"/>
        </w:rPr>
        <w:t>, elle a exprimé les principes suivants</w:t>
      </w:r>
      <w:r>
        <w:rPr>
          <w:lang w:val="fr-FR"/>
        </w:rPr>
        <w:t xml:space="preserve"> (voir également </w:t>
      </w:r>
      <w:r w:rsidRPr="009208FF">
        <w:rPr>
          <w:i/>
          <w:szCs w:val="24"/>
          <w:lang w:val="fr-FR"/>
        </w:rPr>
        <w:t xml:space="preserve">Dhahbi c. </w:t>
      </w:r>
      <w:r>
        <w:rPr>
          <w:i/>
          <w:szCs w:val="24"/>
          <w:lang w:val="fr-FR"/>
        </w:rPr>
        <w:t>Italie</w:t>
      </w:r>
      <w:r>
        <w:rPr>
          <w:szCs w:val="24"/>
          <w:lang w:val="fr-FR"/>
        </w:rPr>
        <w:t>,</w:t>
      </w:r>
      <w:r w:rsidRPr="009208FF">
        <w:rPr>
          <w:szCs w:val="24"/>
          <w:lang w:val="fr-FR"/>
        </w:rPr>
        <w:t xml:space="preserve"> n</w:t>
      </w:r>
      <w:r w:rsidRPr="00E8459A">
        <w:rPr>
          <w:szCs w:val="24"/>
          <w:vertAlign w:val="superscript"/>
          <w:lang w:val="fr-FR"/>
        </w:rPr>
        <w:t>o</w:t>
      </w:r>
      <w:r w:rsidRPr="009208FF">
        <w:rPr>
          <w:szCs w:val="24"/>
          <w:lang w:val="fr-FR"/>
        </w:rPr>
        <w:t xml:space="preserve"> 17120/09, </w:t>
      </w:r>
      <w:r>
        <w:rPr>
          <w:szCs w:val="24"/>
          <w:lang w:val="fr-FR"/>
        </w:rPr>
        <w:t xml:space="preserve">§ 31, </w:t>
      </w:r>
      <w:r w:rsidRPr="009208FF">
        <w:rPr>
          <w:szCs w:val="24"/>
          <w:lang w:val="fr-FR"/>
        </w:rPr>
        <w:t>8 avril 2014</w:t>
      </w:r>
      <w:r>
        <w:rPr>
          <w:sz w:val="22"/>
          <w:lang w:val="fr-FR"/>
        </w:rPr>
        <w:t>) </w:t>
      </w:r>
      <w:r w:rsidRPr="009556E4">
        <w:rPr>
          <w:lang w:val="fr-FR"/>
        </w:rPr>
        <w:t>:</w:t>
      </w:r>
    </w:p>
    <w:p w:rsidR="00E8459A" w:rsidRPr="009556E4" w:rsidRDefault="00E8459A" w:rsidP="00270BD2">
      <w:pPr>
        <w:pStyle w:val="ECHRPara"/>
        <w:rPr>
          <w:lang w:val="fr-FR"/>
        </w:rPr>
      </w:pPr>
      <w:r w:rsidRPr="009556E4">
        <w:rPr>
          <w:lang w:val="fr-FR"/>
        </w:rPr>
        <w:t>–</w:t>
      </w:r>
      <w:r>
        <w:rPr>
          <w:lang w:val="fr-FR"/>
        </w:rPr>
        <w:t>  </w:t>
      </w:r>
      <w:r w:rsidRPr="009556E4">
        <w:rPr>
          <w:lang w:val="fr-FR"/>
        </w:rPr>
        <w:t>l</w:t>
      </w:r>
      <w:r w:rsidR="000C4516">
        <w:rPr>
          <w:lang w:val="fr-FR"/>
        </w:rPr>
        <w:t>’</w:t>
      </w:r>
      <w:r w:rsidRPr="009556E4">
        <w:rPr>
          <w:lang w:val="fr-FR"/>
        </w:rPr>
        <w:t>article 6 § 1</w:t>
      </w:r>
      <w:r>
        <w:rPr>
          <w:lang w:val="fr-FR"/>
        </w:rPr>
        <w:t xml:space="preserve"> de la Convention</w:t>
      </w:r>
      <w:r w:rsidRPr="009556E4">
        <w:rPr>
          <w:lang w:val="fr-FR"/>
        </w:rPr>
        <w:t xml:space="preserve"> met à la charge des juridictions internes une obligation de motiver au regard du droit applicable les décisions par lesquelles elles refusent de poser une question préjudicielle ;</w:t>
      </w:r>
    </w:p>
    <w:p w:rsidR="00E8459A" w:rsidRPr="009556E4" w:rsidRDefault="00E8459A" w:rsidP="00270BD2">
      <w:pPr>
        <w:pStyle w:val="ECHRPara"/>
        <w:rPr>
          <w:lang w:val="fr-FR"/>
        </w:rPr>
      </w:pPr>
      <w:r w:rsidRPr="009556E4">
        <w:rPr>
          <w:lang w:val="fr-FR"/>
        </w:rPr>
        <w:t>–</w:t>
      </w:r>
      <w:r>
        <w:rPr>
          <w:lang w:val="fr-FR"/>
        </w:rPr>
        <w:t>  </w:t>
      </w:r>
      <w:r w:rsidRPr="009556E4">
        <w:rPr>
          <w:lang w:val="fr-FR"/>
        </w:rPr>
        <w:t>lorsqu</w:t>
      </w:r>
      <w:r w:rsidR="000C4516">
        <w:rPr>
          <w:lang w:val="fr-FR"/>
        </w:rPr>
        <w:t>’</w:t>
      </w:r>
      <w:r w:rsidRPr="009556E4">
        <w:rPr>
          <w:lang w:val="fr-FR"/>
        </w:rPr>
        <w:t>elle est saisie sur ce terrain d</w:t>
      </w:r>
      <w:r w:rsidR="000C4516">
        <w:rPr>
          <w:lang w:val="fr-FR"/>
        </w:rPr>
        <w:t>’</w:t>
      </w:r>
      <w:r w:rsidRPr="009556E4">
        <w:rPr>
          <w:lang w:val="fr-FR"/>
        </w:rPr>
        <w:t>une allégation de violation de l</w:t>
      </w:r>
      <w:r w:rsidR="000C4516">
        <w:rPr>
          <w:lang w:val="fr-FR"/>
        </w:rPr>
        <w:t>’</w:t>
      </w:r>
      <w:r w:rsidRPr="009556E4">
        <w:rPr>
          <w:lang w:val="fr-FR"/>
        </w:rPr>
        <w:t>article 6 § 1, la tâche de la Cour consiste à s</w:t>
      </w:r>
      <w:r w:rsidR="000C4516">
        <w:rPr>
          <w:lang w:val="fr-FR"/>
        </w:rPr>
        <w:t>’</w:t>
      </w:r>
      <w:r w:rsidRPr="009556E4">
        <w:rPr>
          <w:lang w:val="fr-FR"/>
        </w:rPr>
        <w:t>assurer que la décision de refus critiquée devant elle est dûment assortie de</w:t>
      </w:r>
      <w:r>
        <w:rPr>
          <w:lang w:val="fr-FR"/>
        </w:rPr>
        <w:t>s</w:t>
      </w:r>
      <w:r w:rsidRPr="009556E4">
        <w:rPr>
          <w:lang w:val="fr-FR"/>
        </w:rPr>
        <w:t xml:space="preserve"> motifs</w:t>
      </w:r>
      <w:r>
        <w:rPr>
          <w:lang w:val="fr-FR"/>
        </w:rPr>
        <w:t xml:space="preserve"> requis</w:t>
      </w:r>
      <w:r w:rsidRPr="009556E4">
        <w:rPr>
          <w:lang w:val="fr-FR"/>
        </w:rPr>
        <w:t> ;</w:t>
      </w:r>
    </w:p>
    <w:p w:rsidR="00E8459A" w:rsidRPr="009556E4" w:rsidRDefault="00E8459A" w:rsidP="00270BD2">
      <w:pPr>
        <w:pStyle w:val="ECHRPara"/>
        <w:rPr>
          <w:lang w:val="fr-FR"/>
        </w:rPr>
      </w:pPr>
      <w:r w:rsidRPr="009556E4">
        <w:rPr>
          <w:lang w:val="fr-FR"/>
        </w:rPr>
        <w:t>–</w:t>
      </w:r>
      <w:r>
        <w:rPr>
          <w:lang w:val="fr-FR"/>
        </w:rPr>
        <w:t>  </w:t>
      </w:r>
      <w:r w:rsidRPr="009556E4">
        <w:rPr>
          <w:lang w:val="fr-FR"/>
        </w:rPr>
        <w:t>s</w:t>
      </w:r>
      <w:r w:rsidR="000C4516">
        <w:rPr>
          <w:lang w:val="fr-FR"/>
        </w:rPr>
        <w:t>’</w:t>
      </w:r>
      <w:r w:rsidRPr="009556E4">
        <w:rPr>
          <w:lang w:val="fr-FR"/>
        </w:rPr>
        <w:t>il lui revient de procéder rigoureusement à cette vérification, il ne lui appartient pas de connaître d</w:t>
      </w:r>
      <w:r w:rsidR="000C4516">
        <w:rPr>
          <w:lang w:val="fr-FR"/>
        </w:rPr>
        <w:t>’</w:t>
      </w:r>
      <w:r w:rsidRPr="009556E4">
        <w:rPr>
          <w:lang w:val="fr-FR"/>
        </w:rPr>
        <w:t>éventuelles erreurs qu</w:t>
      </w:r>
      <w:r w:rsidR="000C4516">
        <w:rPr>
          <w:lang w:val="fr-FR"/>
        </w:rPr>
        <w:t>’</w:t>
      </w:r>
      <w:r w:rsidRPr="009556E4">
        <w:rPr>
          <w:lang w:val="fr-FR"/>
        </w:rPr>
        <w:t>auraient commises les juridictions internes dans l</w:t>
      </w:r>
      <w:r w:rsidR="000C4516">
        <w:rPr>
          <w:lang w:val="fr-FR"/>
        </w:rPr>
        <w:t>’</w:t>
      </w:r>
      <w:r w:rsidRPr="009556E4">
        <w:rPr>
          <w:lang w:val="fr-FR"/>
        </w:rPr>
        <w:t>interprétation ou l</w:t>
      </w:r>
      <w:r w:rsidR="000C4516">
        <w:rPr>
          <w:lang w:val="fr-FR"/>
        </w:rPr>
        <w:t>’</w:t>
      </w:r>
      <w:r w:rsidRPr="009556E4">
        <w:rPr>
          <w:lang w:val="fr-FR"/>
        </w:rPr>
        <w:t>application du droit pertinent ;</w:t>
      </w:r>
    </w:p>
    <w:p w:rsidR="00E8459A" w:rsidRDefault="00E8459A" w:rsidP="00270BD2">
      <w:pPr>
        <w:pStyle w:val="ECHRPara"/>
        <w:rPr>
          <w:lang w:val="fr-FR"/>
        </w:rPr>
      </w:pPr>
      <w:r w:rsidRPr="009556E4">
        <w:rPr>
          <w:lang w:val="fr-FR"/>
        </w:rPr>
        <w:t>–</w:t>
      </w:r>
      <w:r>
        <w:rPr>
          <w:lang w:val="fr-FR"/>
        </w:rPr>
        <w:t>  </w:t>
      </w:r>
      <w:r w:rsidRPr="009556E4">
        <w:rPr>
          <w:lang w:val="fr-FR"/>
        </w:rPr>
        <w:t xml:space="preserve">dans le cadre spécifique du troisième alinéa de </w:t>
      </w:r>
      <w:r>
        <w:rPr>
          <w:lang w:val="fr-FR"/>
        </w:rPr>
        <w:t>l</w:t>
      </w:r>
      <w:r w:rsidR="000C4516">
        <w:rPr>
          <w:lang w:val="fr-FR"/>
        </w:rPr>
        <w:t>’</w:t>
      </w:r>
      <w:r w:rsidRPr="009556E4">
        <w:rPr>
          <w:lang w:val="fr-FR"/>
        </w:rPr>
        <w:t>article 267 du TFUE, cela signifie que les juridictions nationales dont les décisions ne sont pas susceptibles d</w:t>
      </w:r>
      <w:r w:rsidR="000C4516">
        <w:rPr>
          <w:lang w:val="fr-FR"/>
        </w:rPr>
        <w:t>’</w:t>
      </w:r>
      <w:r w:rsidRPr="009556E4">
        <w:rPr>
          <w:lang w:val="fr-FR"/>
        </w:rPr>
        <w:t>un recours juridictionnel de droit interne sont tenues, lorsqu</w:t>
      </w:r>
      <w:r w:rsidR="000C4516">
        <w:rPr>
          <w:lang w:val="fr-FR"/>
        </w:rPr>
        <w:t>’</w:t>
      </w:r>
      <w:r w:rsidRPr="009556E4">
        <w:rPr>
          <w:lang w:val="fr-FR"/>
        </w:rPr>
        <w:t xml:space="preserve">elles refusent de saisir la </w:t>
      </w:r>
      <w:r>
        <w:rPr>
          <w:lang w:val="fr-FR"/>
        </w:rPr>
        <w:t>CJUE</w:t>
      </w:r>
      <w:r w:rsidRPr="009556E4">
        <w:rPr>
          <w:lang w:val="fr-FR"/>
        </w:rPr>
        <w:t xml:space="preserve"> à titre préjudiciel d</w:t>
      </w:r>
      <w:r w:rsidR="000C4516">
        <w:rPr>
          <w:lang w:val="fr-FR"/>
        </w:rPr>
        <w:t>’</w:t>
      </w:r>
      <w:r w:rsidRPr="009556E4">
        <w:rPr>
          <w:lang w:val="fr-FR"/>
        </w:rPr>
        <w:t>une question relative à l</w:t>
      </w:r>
      <w:r w:rsidR="000C4516">
        <w:rPr>
          <w:lang w:val="fr-FR"/>
        </w:rPr>
        <w:t>’</w:t>
      </w:r>
      <w:r w:rsidRPr="009556E4">
        <w:rPr>
          <w:lang w:val="fr-FR"/>
        </w:rPr>
        <w:t>interprétation du droit de l</w:t>
      </w:r>
      <w:r w:rsidR="000C4516">
        <w:rPr>
          <w:lang w:val="fr-FR"/>
        </w:rPr>
        <w:t>’</w:t>
      </w:r>
      <w:r w:rsidRPr="009556E4">
        <w:rPr>
          <w:lang w:val="fr-FR"/>
        </w:rPr>
        <w:t xml:space="preserve">UE soulevée devant elles, de motiver leur refus au regard des exceptions prévues par la jurisprudence de la </w:t>
      </w:r>
      <w:r>
        <w:rPr>
          <w:lang w:val="fr-FR"/>
        </w:rPr>
        <w:t>CJUE</w:t>
      </w:r>
      <w:r w:rsidRPr="009556E4">
        <w:rPr>
          <w:lang w:val="fr-FR"/>
        </w:rPr>
        <w:t>. Il leur faut donc indiquer les raisons pour lesquelles elles considèrent que la question n</w:t>
      </w:r>
      <w:r w:rsidR="000C4516">
        <w:rPr>
          <w:lang w:val="fr-FR"/>
        </w:rPr>
        <w:t>’</w:t>
      </w:r>
      <w:r w:rsidRPr="009556E4">
        <w:rPr>
          <w:lang w:val="fr-FR"/>
        </w:rPr>
        <w:t>est pas pertinente, ou que la disposition de droit de l</w:t>
      </w:r>
      <w:r w:rsidR="000C4516">
        <w:rPr>
          <w:lang w:val="fr-FR"/>
        </w:rPr>
        <w:t>’</w:t>
      </w:r>
      <w:r w:rsidRPr="009556E4">
        <w:rPr>
          <w:lang w:val="fr-FR"/>
        </w:rPr>
        <w:t>UE en cause a déjà fait l</w:t>
      </w:r>
      <w:r w:rsidR="000C4516">
        <w:rPr>
          <w:lang w:val="fr-FR"/>
        </w:rPr>
        <w:t>’</w:t>
      </w:r>
      <w:r w:rsidRPr="009556E4">
        <w:rPr>
          <w:lang w:val="fr-FR"/>
        </w:rPr>
        <w:t>objet d</w:t>
      </w:r>
      <w:r w:rsidR="000C4516">
        <w:rPr>
          <w:lang w:val="fr-FR"/>
        </w:rPr>
        <w:t>’</w:t>
      </w:r>
      <w:r w:rsidRPr="009556E4">
        <w:rPr>
          <w:lang w:val="fr-FR"/>
        </w:rPr>
        <w:t xml:space="preserve">une interprétation de la part de la </w:t>
      </w:r>
      <w:r>
        <w:rPr>
          <w:lang w:val="fr-FR"/>
        </w:rPr>
        <w:t>CJUE</w:t>
      </w:r>
      <w:r w:rsidRPr="009556E4">
        <w:rPr>
          <w:lang w:val="fr-FR"/>
        </w:rPr>
        <w:t>, ou encore que l</w:t>
      </w:r>
      <w:r w:rsidR="000C4516">
        <w:rPr>
          <w:lang w:val="fr-FR"/>
        </w:rPr>
        <w:t>’</w:t>
      </w:r>
      <w:r w:rsidRPr="009556E4">
        <w:rPr>
          <w:lang w:val="fr-FR"/>
        </w:rPr>
        <w:t>application correcte du droit de l</w:t>
      </w:r>
      <w:r w:rsidR="000C4516">
        <w:rPr>
          <w:lang w:val="fr-FR"/>
        </w:rPr>
        <w:t>’</w:t>
      </w:r>
      <w:r w:rsidRPr="009556E4">
        <w:rPr>
          <w:lang w:val="fr-FR"/>
        </w:rPr>
        <w:t>UE s</w:t>
      </w:r>
      <w:r w:rsidR="000C4516">
        <w:rPr>
          <w:lang w:val="fr-FR"/>
        </w:rPr>
        <w:t>’</w:t>
      </w:r>
      <w:r w:rsidRPr="009556E4">
        <w:rPr>
          <w:lang w:val="fr-FR"/>
        </w:rPr>
        <w:t>impose avec une telle évidence qu</w:t>
      </w:r>
      <w:r w:rsidR="000C4516">
        <w:rPr>
          <w:lang w:val="fr-FR"/>
        </w:rPr>
        <w:t>’</w:t>
      </w:r>
      <w:r w:rsidRPr="009556E4">
        <w:rPr>
          <w:lang w:val="fr-FR"/>
        </w:rPr>
        <w:t>elle ne laisse place à aucun doute raisonnable.</w:t>
      </w:r>
    </w:p>
    <w:p w:rsidR="00E8459A" w:rsidRPr="002C0B5F" w:rsidRDefault="00E8459A" w:rsidP="00270BD2">
      <w:pPr>
        <w:pStyle w:val="ECHRPara"/>
        <w:rPr>
          <w:szCs w:val="24"/>
          <w:highlight w:val="green"/>
          <w:lang w:val="fr-FR"/>
        </w:rPr>
      </w:pPr>
      <w:r>
        <w:rPr>
          <w:lang w:val="fr-FR"/>
        </w:rPr>
        <w:t>35.  En l</w:t>
      </w:r>
      <w:r w:rsidR="000C4516">
        <w:rPr>
          <w:lang w:val="fr-FR"/>
        </w:rPr>
        <w:t>’</w:t>
      </w:r>
      <w:r>
        <w:rPr>
          <w:lang w:val="fr-FR"/>
        </w:rPr>
        <w:t xml:space="preserve">espèce, tant dans son pourvoi (paragraphe </w:t>
      </w:r>
      <w:r>
        <w:rPr>
          <w:rFonts w:eastAsiaTheme="minorHAnsi" w:cstheme="minorHAnsi"/>
          <w:szCs w:val="24"/>
          <w:lang w:val="fr-FR"/>
        </w:rPr>
        <w:t>15</w:t>
      </w:r>
      <w:r>
        <w:rPr>
          <w:lang w:val="fr-FR"/>
        </w:rPr>
        <w:t xml:space="preserve"> ci-dessus) que dans son mémoire du 9 mai 2013 (paragraphe </w:t>
      </w:r>
      <w:r>
        <w:rPr>
          <w:rFonts w:eastAsiaTheme="minorHAnsi" w:cstheme="minorHAnsi"/>
          <w:szCs w:val="24"/>
          <w:lang w:val="fr-FR"/>
        </w:rPr>
        <w:t>17</w:t>
      </w:r>
      <w:r>
        <w:rPr>
          <w:lang w:val="fr-FR"/>
        </w:rPr>
        <w:t xml:space="preserve"> ci-dessus), la requérante a demandé à la Cour de cassation de poser à la CJUE la question préjudicielle de savoir : a) s</w:t>
      </w:r>
      <w:r>
        <w:rPr>
          <w:rFonts w:eastAsiaTheme="minorHAnsi"/>
          <w:lang w:val="fr-FR"/>
        </w:rPr>
        <w:t>i l</w:t>
      </w:r>
      <w:r w:rsidR="000C4516">
        <w:rPr>
          <w:rFonts w:eastAsiaTheme="minorHAnsi"/>
          <w:lang w:val="fr-FR"/>
        </w:rPr>
        <w:t>’</w:t>
      </w:r>
      <w:r>
        <w:rPr>
          <w:rFonts w:eastAsiaTheme="minorHAnsi"/>
          <w:lang w:val="fr-FR"/>
        </w:rPr>
        <w:t>article 267 du TFUE devait être interprété dans le sens d</w:t>
      </w:r>
      <w:r w:rsidR="000C4516">
        <w:rPr>
          <w:rFonts w:eastAsiaTheme="minorHAnsi"/>
          <w:lang w:val="fr-FR"/>
        </w:rPr>
        <w:t>’</w:t>
      </w:r>
      <w:r>
        <w:rPr>
          <w:rFonts w:eastAsiaTheme="minorHAnsi"/>
          <w:lang w:val="fr-FR"/>
        </w:rPr>
        <w:t>attribuer à la CJUE une juridiction exclusive en matière d</w:t>
      </w:r>
      <w:r w:rsidR="000C4516">
        <w:rPr>
          <w:rFonts w:eastAsiaTheme="minorHAnsi"/>
          <w:lang w:val="fr-FR"/>
        </w:rPr>
        <w:t>’</w:t>
      </w:r>
      <w:r>
        <w:rPr>
          <w:rFonts w:eastAsiaTheme="minorHAnsi"/>
          <w:lang w:val="fr-FR"/>
        </w:rPr>
        <w:t>interprétation du droit de l</w:t>
      </w:r>
      <w:r w:rsidR="000C4516">
        <w:rPr>
          <w:rFonts w:eastAsiaTheme="minorHAnsi"/>
          <w:lang w:val="fr-FR"/>
        </w:rPr>
        <w:t>’</w:t>
      </w:r>
      <w:r>
        <w:rPr>
          <w:rFonts w:eastAsiaTheme="minorHAnsi"/>
          <w:lang w:val="fr-FR"/>
        </w:rPr>
        <w:t>UE ; et b) si un juge national de dernière instance dépassait les limites de sa juridiction lorsqu</w:t>
      </w:r>
      <w:r w:rsidR="000C4516">
        <w:rPr>
          <w:rFonts w:eastAsiaTheme="minorHAnsi"/>
          <w:lang w:val="fr-FR"/>
        </w:rPr>
        <w:t>’</w:t>
      </w:r>
      <w:r>
        <w:rPr>
          <w:rFonts w:eastAsiaTheme="minorHAnsi"/>
          <w:lang w:val="fr-FR"/>
        </w:rPr>
        <w:t>il refusait de saisir la CJUE et donnait sa propre interprétation du droit de l</w:t>
      </w:r>
      <w:r w:rsidR="000C4516">
        <w:rPr>
          <w:rFonts w:eastAsiaTheme="minorHAnsi"/>
          <w:lang w:val="fr-FR"/>
        </w:rPr>
        <w:t>’</w:t>
      </w:r>
      <w:r>
        <w:rPr>
          <w:rFonts w:eastAsiaTheme="minorHAnsi"/>
          <w:lang w:val="fr-FR"/>
        </w:rPr>
        <w:t xml:space="preserve">UE. </w:t>
      </w:r>
      <w:r w:rsidRPr="00D3314B">
        <w:rPr>
          <w:lang w:val="fr-FR"/>
        </w:rPr>
        <w:t>Ses décisions n</w:t>
      </w:r>
      <w:r w:rsidR="000C4516">
        <w:rPr>
          <w:lang w:val="fr-FR"/>
        </w:rPr>
        <w:t>’</w:t>
      </w:r>
      <w:r w:rsidRPr="00D3314B">
        <w:rPr>
          <w:lang w:val="fr-FR"/>
        </w:rPr>
        <w:t>étant susceptibles d</w:t>
      </w:r>
      <w:r w:rsidR="000C4516">
        <w:rPr>
          <w:lang w:val="fr-FR"/>
        </w:rPr>
        <w:t>’</w:t>
      </w:r>
      <w:r w:rsidRPr="00D3314B">
        <w:rPr>
          <w:lang w:val="fr-FR"/>
        </w:rPr>
        <w:t>aucun recours juridictionnel en droit interne, la Cour de cassation avait l</w:t>
      </w:r>
      <w:r w:rsidR="000C4516">
        <w:rPr>
          <w:lang w:val="fr-FR"/>
        </w:rPr>
        <w:t>’</w:t>
      </w:r>
      <w:r w:rsidRPr="00D3314B">
        <w:rPr>
          <w:lang w:val="fr-FR"/>
        </w:rPr>
        <w:t xml:space="preserve">obligation de motiver son refus de poser la question préjudicielle au regard </w:t>
      </w:r>
      <w:r w:rsidRPr="00D3314B">
        <w:rPr>
          <w:lang w:val="fr-FR"/>
        </w:rPr>
        <w:lastRenderedPageBreak/>
        <w:t>des exceptions prévues par la jurisprudence de la CJCE (</w:t>
      </w:r>
      <w:r w:rsidRPr="00D3314B">
        <w:rPr>
          <w:i/>
          <w:szCs w:val="24"/>
          <w:lang w:val="fr-FR"/>
        </w:rPr>
        <w:t>Dhahbi</w:t>
      </w:r>
      <w:r w:rsidRPr="00D3314B">
        <w:rPr>
          <w:szCs w:val="24"/>
          <w:lang w:val="fr-FR"/>
        </w:rPr>
        <w:t>, précité, §</w:t>
      </w:r>
      <w:r>
        <w:rPr>
          <w:szCs w:val="24"/>
          <w:lang w:val="fr-FR"/>
        </w:rPr>
        <w:t> </w:t>
      </w:r>
      <w:r w:rsidRPr="00D3314B">
        <w:rPr>
          <w:szCs w:val="24"/>
          <w:lang w:val="fr-FR"/>
        </w:rPr>
        <w:t>32).</w:t>
      </w:r>
    </w:p>
    <w:p w:rsidR="00E8459A" w:rsidRDefault="00E8459A" w:rsidP="00270BD2">
      <w:pPr>
        <w:pStyle w:val="ECHRPara"/>
        <w:rPr>
          <w:lang w:val="fr-FR"/>
        </w:rPr>
      </w:pPr>
      <w:r>
        <w:rPr>
          <w:lang w:val="fr-FR"/>
        </w:rPr>
        <w:t>36</w:t>
      </w:r>
      <w:r w:rsidRPr="00D3314B">
        <w:rPr>
          <w:lang w:val="fr-FR"/>
        </w:rPr>
        <w:t>.  La Cour a examiné l</w:t>
      </w:r>
      <w:r w:rsidR="000C4516">
        <w:rPr>
          <w:lang w:val="fr-FR"/>
        </w:rPr>
        <w:t>’</w:t>
      </w:r>
      <w:r w:rsidRPr="00D3314B">
        <w:rPr>
          <w:lang w:val="fr-FR"/>
        </w:rPr>
        <w:t xml:space="preserve">arrêt de la Cour de cassation du 14 mai 2013 sans y trouver aucune référence </w:t>
      </w:r>
      <w:r>
        <w:rPr>
          <w:lang w:val="fr-FR"/>
        </w:rPr>
        <w:t xml:space="preserve">explicite </w:t>
      </w:r>
      <w:r w:rsidRPr="00D3314B">
        <w:rPr>
          <w:lang w:val="fr-FR"/>
        </w:rPr>
        <w:t>à la demande de renvoi préjudiciel formulée par la requérante.</w:t>
      </w:r>
      <w:r>
        <w:rPr>
          <w:lang w:val="fr-FR"/>
        </w:rPr>
        <w:t xml:space="preserve"> Toutefois, il ressort d</w:t>
      </w:r>
      <w:r w:rsidR="000C4516">
        <w:rPr>
          <w:lang w:val="fr-FR"/>
        </w:rPr>
        <w:t>’</w:t>
      </w:r>
      <w:r>
        <w:rPr>
          <w:lang w:val="fr-FR"/>
        </w:rPr>
        <w:t>une lecture de la motivation de cet arrêt que la question préjudicielle était manifestement non pertinente en l</w:t>
      </w:r>
      <w:r w:rsidR="000C4516">
        <w:rPr>
          <w:lang w:val="fr-FR"/>
        </w:rPr>
        <w:t>’</w:t>
      </w:r>
      <w:r>
        <w:rPr>
          <w:lang w:val="fr-FR"/>
        </w:rPr>
        <w:t>espèce. En effet, la Cour de cassation a clarifié que dans le cadre d</w:t>
      </w:r>
      <w:r w:rsidR="000C4516">
        <w:rPr>
          <w:lang w:val="fr-FR"/>
        </w:rPr>
        <w:t>’</w:t>
      </w:r>
      <w:r>
        <w:rPr>
          <w:lang w:val="fr-FR"/>
        </w:rPr>
        <w:t>un pourvoi introduit aux termes de l</w:t>
      </w:r>
      <w:r w:rsidR="000C4516">
        <w:rPr>
          <w:lang w:val="fr-FR"/>
        </w:rPr>
        <w:t>’</w:t>
      </w:r>
      <w:r>
        <w:rPr>
          <w:lang w:val="fr-FR"/>
        </w:rPr>
        <w:t>article 111 § 8 de la Constitution, elle devait se borner à contrôler le respect des « limites extérieures » de la « fonction juridictionnelle » du Conseil d</w:t>
      </w:r>
      <w:r w:rsidR="000C4516">
        <w:rPr>
          <w:lang w:val="fr-FR"/>
        </w:rPr>
        <w:t>’</w:t>
      </w:r>
      <w:r>
        <w:rPr>
          <w:lang w:val="fr-FR"/>
        </w:rPr>
        <w:t>État, et qu</w:t>
      </w:r>
      <w:r w:rsidR="000C4516">
        <w:rPr>
          <w:lang w:val="fr-FR"/>
        </w:rPr>
        <w:t>’</w:t>
      </w:r>
      <w:r>
        <w:rPr>
          <w:lang w:val="fr-FR"/>
        </w:rPr>
        <w:t>elle ne pouvait pas se pencher sur la question de savoir si, en rejetant une demande de renvoi préjudiciel, cet organe avait satisfait aux conditions établies dans le TFUE. Même en cas de non-respect de ces conditions, aucun défaut de juridiction n</w:t>
      </w:r>
      <w:r w:rsidR="000C4516">
        <w:rPr>
          <w:lang w:val="fr-FR"/>
        </w:rPr>
        <w:t>’</w:t>
      </w:r>
      <w:r>
        <w:rPr>
          <w:lang w:val="fr-FR"/>
        </w:rPr>
        <w:t>aurait pu être décelé (paragraphes 20-21</w:t>
      </w:r>
      <w:r w:rsidR="006562FA">
        <w:rPr>
          <w:lang w:val="fr-FR"/>
        </w:rPr>
        <w:t xml:space="preserve"> ci</w:t>
      </w:r>
      <w:r w:rsidR="006562FA">
        <w:rPr>
          <w:lang w:val="fr-FR"/>
        </w:rPr>
        <w:noBreakHyphen/>
      </w:r>
      <w:r>
        <w:rPr>
          <w:lang w:val="fr-FR"/>
        </w:rPr>
        <w:t>dessus). Dans ces circonstances, il était évident qu</w:t>
      </w:r>
      <w:r w:rsidR="000C4516">
        <w:rPr>
          <w:lang w:val="fr-FR"/>
        </w:rPr>
        <w:t>’</w:t>
      </w:r>
      <w:r>
        <w:rPr>
          <w:lang w:val="fr-FR"/>
        </w:rPr>
        <w:t>il ne s</w:t>
      </w:r>
      <w:r w:rsidR="000C4516">
        <w:rPr>
          <w:lang w:val="fr-FR"/>
        </w:rPr>
        <w:t>’</w:t>
      </w:r>
      <w:r>
        <w:rPr>
          <w:lang w:val="fr-FR"/>
        </w:rPr>
        <w:t>avérait pas nécessaire de demander à la CJUE d</w:t>
      </w:r>
      <w:r w:rsidR="000C4516">
        <w:rPr>
          <w:lang w:val="fr-FR"/>
        </w:rPr>
        <w:t>’</w:t>
      </w:r>
      <w:r>
        <w:rPr>
          <w:lang w:val="fr-FR"/>
        </w:rPr>
        <w:t>interpréter l</w:t>
      </w:r>
      <w:r w:rsidR="000C4516">
        <w:rPr>
          <w:lang w:val="fr-FR"/>
        </w:rPr>
        <w:t>’</w:t>
      </w:r>
      <w:r>
        <w:rPr>
          <w:lang w:val="fr-FR"/>
        </w:rPr>
        <w:t>article 267 du TFUE, l</w:t>
      </w:r>
      <w:r w:rsidR="000C4516">
        <w:rPr>
          <w:lang w:val="fr-FR"/>
        </w:rPr>
        <w:t>’</w:t>
      </w:r>
      <w:r>
        <w:rPr>
          <w:lang w:val="fr-FR"/>
        </w:rPr>
        <w:t>éventuelle violation de cette disposition par le Conseil d</w:t>
      </w:r>
      <w:r w:rsidR="000C4516">
        <w:rPr>
          <w:lang w:val="fr-FR"/>
        </w:rPr>
        <w:t>’</w:t>
      </w:r>
      <w:r>
        <w:rPr>
          <w:lang w:val="fr-FR"/>
        </w:rPr>
        <w:t>État ne pouvant avoir aucune influence sur l</w:t>
      </w:r>
      <w:r w:rsidR="000C4516">
        <w:rPr>
          <w:lang w:val="fr-FR"/>
        </w:rPr>
        <w:t>’</w:t>
      </w:r>
      <w:r>
        <w:rPr>
          <w:lang w:val="fr-FR"/>
        </w:rPr>
        <w:t>issue de l</w:t>
      </w:r>
      <w:r w:rsidR="000C4516">
        <w:rPr>
          <w:lang w:val="fr-FR"/>
        </w:rPr>
        <w:t>’</w:t>
      </w:r>
      <w:r>
        <w:rPr>
          <w:lang w:val="fr-FR"/>
        </w:rPr>
        <w:t>affaire devant la Cour de cassation.</w:t>
      </w:r>
    </w:p>
    <w:p w:rsidR="00E8459A" w:rsidRDefault="00E8459A" w:rsidP="00270BD2">
      <w:pPr>
        <w:pStyle w:val="ECHRPara"/>
        <w:rPr>
          <w:highlight w:val="green"/>
          <w:lang w:val="fr-FR"/>
        </w:rPr>
      </w:pPr>
      <w:r>
        <w:rPr>
          <w:lang w:val="fr-FR"/>
        </w:rPr>
        <w:t>37.  Certes, il aurait été préférable que la Cour de cassation explicite les lignes de son raisonnement par rapport au rejet de la demande de renvoi préjudiciel de la requérante. Il n</w:t>
      </w:r>
      <w:r w:rsidR="000C4516">
        <w:rPr>
          <w:lang w:val="fr-FR"/>
        </w:rPr>
        <w:t>’</w:t>
      </w:r>
      <w:r>
        <w:rPr>
          <w:lang w:val="fr-FR"/>
        </w:rPr>
        <w:t>en demeure pas moins que, pour les raisons indiquées au paragraphe précédent, il y a eu en l</w:t>
      </w:r>
      <w:r w:rsidR="000C4516">
        <w:rPr>
          <w:lang w:val="fr-FR"/>
        </w:rPr>
        <w:t>’</w:t>
      </w:r>
      <w:r>
        <w:rPr>
          <w:lang w:val="fr-FR"/>
        </w:rPr>
        <w:t xml:space="preserve">espèce </w:t>
      </w:r>
      <w:r w:rsidRPr="00936CAC">
        <w:rPr>
          <w:lang w:val="fr-FR"/>
        </w:rPr>
        <w:t>une motivation implicite de ce rejet.</w:t>
      </w:r>
      <w:r w:rsidR="008A78C5">
        <w:rPr>
          <w:lang w:val="fr-FR"/>
        </w:rPr>
        <w:t xml:space="preserve"> </w:t>
      </w:r>
      <w:r>
        <w:rPr>
          <w:lang w:val="fr-FR"/>
        </w:rPr>
        <w:t>En effet, l</w:t>
      </w:r>
      <w:r w:rsidRPr="00936CAC">
        <w:rPr>
          <w:lang w:val="fr-FR"/>
        </w:rPr>
        <w:t>a motivation de l</w:t>
      </w:r>
      <w:r w:rsidR="000C4516">
        <w:rPr>
          <w:lang w:val="fr-FR"/>
        </w:rPr>
        <w:t>’</w:t>
      </w:r>
      <w:r w:rsidRPr="00936CAC">
        <w:rPr>
          <w:lang w:val="fr-FR"/>
        </w:rPr>
        <w:t>arrêt litigieux permet d</w:t>
      </w:r>
      <w:r w:rsidR="000C4516">
        <w:rPr>
          <w:lang w:val="fr-FR"/>
        </w:rPr>
        <w:t>’</w:t>
      </w:r>
      <w:r w:rsidRPr="00936CAC">
        <w:rPr>
          <w:lang w:val="fr-FR"/>
        </w:rPr>
        <w:t xml:space="preserve">établir que la question a été considérée comme non pertinente (voir, </w:t>
      </w:r>
      <w:r w:rsidRPr="00936CAC">
        <w:rPr>
          <w:i/>
          <w:lang w:val="fr-FR"/>
        </w:rPr>
        <w:t>mutatis mutandis</w:t>
      </w:r>
      <w:r w:rsidRPr="00936CAC">
        <w:rPr>
          <w:lang w:val="fr-FR"/>
        </w:rPr>
        <w:t>,</w:t>
      </w:r>
      <w:r w:rsidRPr="00936CAC">
        <w:rPr>
          <w:i/>
          <w:lang w:val="fr-FR"/>
        </w:rPr>
        <w:t xml:space="preserve"> Vergauwen</w:t>
      </w:r>
      <w:r w:rsidRPr="00936CAC">
        <w:rPr>
          <w:lang w:val="fr-FR"/>
        </w:rPr>
        <w:t>,</w:t>
      </w:r>
      <w:r w:rsidRPr="00936CAC">
        <w:rPr>
          <w:i/>
          <w:lang w:val="fr-FR"/>
        </w:rPr>
        <w:t xml:space="preserve"> </w:t>
      </w:r>
      <w:r w:rsidRPr="00936CAC">
        <w:rPr>
          <w:lang w:val="fr-FR"/>
        </w:rPr>
        <w:t>précité, §</w:t>
      </w:r>
      <w:r w:rsidR="008A78C5">
        <w:rPr>
          <w:lang w:val="fr-FR"/>
        </w:rPr>
        <w:t xml:space="preserve"> </w:t>
      </w:r>
      <w:r w:rsidRPr="00936CAC">
        <w:rPr>
          <w:lang w:val="fr-FR"/>
        </w:rPr>
        <w:t>91, où la Cour a constaté que la Cour constitutionnelle belge avait dûment motivé son refus de poser des questions préjudicielles).</w:t>
      </w:r>
    </w:p>
    <w:p w:rsidR="00E8459A" w:rsidRDefault="00E8459A" w:rsidP="00270BD2">
      <w:pPr>
        <w:pStyle w:val="ECHRPara"/>
        <w:rPr>
          <w:highlight w:val="green"/>
          <w:lang w:val="fr-FR"/>
        </w:rPr>
      </w:pPr>
      <w:r>
        <w:rPr>
          <w:lang w:val="fr-FR"/>
        </w:rPr>
        <w:t>38</w:t>
      </w:r>
      <w:r w:rsidRPr="00936CAC">
        <w:rPr>
          <w:lang w:val="fr-FR"/>
        </w:rPr>
        <w:t>.  </w:t>
      </w:r>
      <w:r>
        <w:rPr>
          <w:rFonts w:cstheme="minorHAnsi"/>
          <w:lang w:val="fr-FR"/>
        </w:rPr>
        <w:t>À</w:t>
      </w:r>
      <w:r>
        <w:rPr>
          <w:lang w:val="fr-FR"/>
        </w:rPr>
        <w:t xml:space="preserve"> la lumière de ce qui précède, la Cour ne saurait déceler, en l</w:t>
      </w:r>
      <w:r w:rsidR="000C4516">
        <w:rPr>
          <w:lang w:val="fr-FR"/>
        </w:rPr>
        <w:t>’</w:t>
      </w:r>
      <w:r>
        <w:rPr>
          <w:lang w:val="fr-FR"/>
        </w:rPr>
        <w:t>espèce, aucune apparence de violation de l</w:t>
      </w:r>
      <w:r w:rsidR="000C4516">
        <w:rPr>
          <w:lang w:val="fr-FR"/>
        </w:rPr>
        <w:t>’</w:t>
      </w:r>
      <w:r>
        <w:rPr>
          <w:lang w:val="fr-FR"/>
        </w:rPr>
        <w:t>article 6 § 1 de la Convention.</w:t>
      </w:r>
    </w:p>
    <w:p w:rsidR="00E8459A" w:rsidRPr="00C75BBD" w:rsidRDefault="00E8459A" w:rsidP="00270BD2">
      <w:pPr>
        <w:pStyle w:val="ECHRPara"/>
        <w:rPr>
          <w:lang w:val="fr-FR"/>
        </w:rPr>
      </w:pPr>
      <w:r>
        <w:rPr>
          <w:lang w:val="fr-FR"/>
        </w:rPr>
        <w:t>39.  </w:t>
      </w:r>
      <w:r w:rsidRPr="00A652CC">
        <w:rPr>
          <w:snapToGrid w:val="0"/>
          <w:lang w:val="fr-FR"/>
        </w:rPr>
        <w:t>Il s</w:t>
      </w:r>
      <w:r w:rsidR="000C4516">
        <w:rPr>
          <w:snapToGrid w:val="0"/>
          <w:lang w:val="fr-FR"/>
        </w:rPr>
        <w:t>’</w:t>
      </w:r>
      <w:r w:rsidRPr="00A652CC">
        <w:rPr>
          <w:snapToGrid w:val="0"/>
          <w:lang w:val="fr-FR"/>
        </w:rPr>
        <w:t>ensuit que ce grief est manifestement mal fondé et doit être rejeté en application de l</w:t>
      </w:r>
      <w:r w:rsidR="000C4516">
        <w:rPr>
          <w:snapToGrid w:val="0"/>
          <w:lang w:val="fr-FR"/>
        </w:rPr>
        <w:t>’</w:t>
      </w:r>
      <w:r w:rsidRPr="00A652CC">
        <w:rPr>
          <w:snapToGrid w:val="0"/>
          <w:lang w:val="fr-FR"/>
        </w:rPr>
        <w:t>article 35 §§ 3</w:t>
      </w:r>
      <w:r w:rsidR="008A78C5">
        <w:rPr>
          <w:snapToGrid w:val="0"/>
          <w:lang w:val="fr-FR"/>
        </w:rPr>
        <w:t xml:space="preserve"> </w:t>
      </w:r>
      <w:r w:rsidRPr="00A652CC">
        <w:rPr>
          <w:lang w:val="fr-FR"/>
        </w:rPr>
        <w:t xml:space="preserve">a) </w:t>
      </w:r>
      <w:r w:rsidRPr="00A652CC">
        <w:rPr>
          <w:snapToGrid w:val="0"/>
          <w:lang w:val="fr-FR"/>
        </w:rPr>
        <w:t>et 4 de la Convention.</w:t>
      </w:r>
    </w:p>
    <w:p w:rsidR="00E8459A" w:rsidRDefault="00E8459A" w:rsidP="00270BD2">
      <w:pPr>
        <w:pStyle w:val="DecList"/>
        <w:rPr>
          <w:lang w:val="fr-FR"/>
        </w:rPr>
      </w:pPr>
      <w:r w:rsidRPr="0072720E">
        <w:rPr>
          <w:lang w:val="fr-FR"/>
        </w:rPr>
        <w:t>Par ces motifs, la Cour, à l</w:t>
      </w:r>
      <w:r w:rsidR="000C4516">
        <w:rPr>
          <w:lang w:val="fr-FR"/>
        </w:rPr>
        <w:t>’</w:t>
      </w:r>
      <w:r w:rsidRPr="0072720E">
        <w:rPr>
          <w:lang w:val="fr-FR"/>
        </w:rPr>
        <w:t>unanimité,</w:t>
      </w:r>
    </w:p>
    <w:p w:rsidR="00E8459A" w:rsidRPr="0072720E" w:rsidRDefault="00E8459A" w:rsidP="00270BD2">
      <w:pPr>
        <w:pStyle w:val="DecList"/>
        <w:rPr>
          <w:lang w:val="fr-FR"/>
        </w:rPr>
      </w:pPr>
      <w:r w:rsidRPr="0072720E">
        <w:rPr>
          <w:i/>
          <w:lang w:val="fr-FR"/>
        </w:rPr>
        <w:t xml:space="preserve">Déclare </w:t>
      </w:r>
      <w:r w:rsidRPr="0072720E">
        <w:rPr>
          <w:lang w:val="fr-FR"/>
        </w:rPr>
        <w:t>la requête irrecevable.</w:t>
      </w:r>
    </w:p>
    <w:p w:rsidR="006544C4" w:rsidRPr="00AD4F05" w:rsidRDefault="006544C4" w:rsidP="004047FE">
      <w:pPr>
        <w:pStyle w:val="ECHRPara"/>
        <w:rPr>
          <w:sz w:val="2"/>
          <w:szCs w:val="2"/>
          <w:lang w:val="fr-FR" w:eastAsia="en-GB"/>
        </w:rPr>
      </w:pPr>
    </w:p>
    <w:p w:rsidR="006F19B0" w:rsidRPr="00E8459A" w:rsidRDefault="00F40988" w:rsidP="00E8459A">
      <w:pPr>
        <w:pStyle w:val="JuParaLast"/>
        <w:rPr>
          <w:szCs w:val="24"/>
          <w:lang w:val="fr-FR"/>
        </w:rPr>
      </w:pPr>
      <w:r w:rsidRPr="00AD4F05">
        <w:rPr>
          <w:szCs w:val="24"/>
          <w:lang w:val="fr-FR"/>
        </w:rPr>
        <w:t xml:space="preserve">Fait en français puis communiqué par écrit le </w:t>
      </w:r>
      <w:r w:rsidR="00E8459A">
        <w:rPr>
          <w:szCs w:val="24"/>
          <w:lang w:val="fr-FR"/>
        </w:rPr>
        <w:t>1</w:t>
      </w:r>
      <w:r w:rsidR="00E8459A" w:rsidRPr="00E8459A">
        <w:rPr>
          <w:szCs w:val="24"/>
          <w:vertAlign w:val="superscript"/>
          <w:lang w:val="fr-FR"/>
        </w:rPr>
        <w:t>er</w:t>
      </w:r>
      <w:r w:rsidR="00E8459A">
        <w:rPr>
          <w:szCs w:val="24"/>
          <w:lang w:val="fr-FR"/>
        </w:rPr>
        <w:t xml:space="preserve"> octobre 2015</w:t>
      </w:r>
      <w:r w:rsidRPr="00AD4F05">
        <w:rPr>
          <w:lang w:val="fr-FR"/>
        </w:rPr>
        <w:t>.</w:t>
      </w:r>
    </w:p>
    <w:p w:rsidR="00234E8A" w:rsidRPr="00AD4F05" w:rsidRDefault="00E8459A" w:rsidP="00B74CA0">
      <w:pPr>
        <w:pStyle w:val="JuSigned"/>
        <w:rPr>
          <w:lang w:val="fr-FR"/>
        </w:rPr>
      </w:pPr>
      <w:r w:rsidRPr="00AD4F05">
        <w:rPr>
          <w:lang w:val="fr-FR"/>
        </w:rPr>
        <w:tab/>
      </w:r>
      <w:r>
        <w:rPr>
          <w:lang w:val="fr-FR"/>
        </w:rPr>
        <w:t>Françoise</w:t>
      </w:r>
      <w:r w:rsidRPr="00AD4F05">
        <w:rPr>
          <w:lang w:val="fr-FR"/>
        </w:rPr>
        <w:t xml:space="preserve"> </w:t>
      </w:r>
      <w:r>
        <w:rPr>
          <w:lang w:val="fr-FR"/>
        </w:rPr>
        <w:t>Elens-Passos</w:t>
      </w:r>
      <w:r w:rsidR="006544C4" w:rsidRPr="00AD4F05">
        <w:rPr>
          <w:lang w:val="fr-FR"/>
        </w:rPr>
        <w:tab/>
      </w:r>
      <w:r>
        <w:rPr>
          <w:lang w:val="fr-FR"/>
        </w:rPr>
        <w:t>Päivi</w:t>
      </w:r>
      <w:r w:rsidRPr="00AD4F05">
        <w:rPr>
          <w:lang w:val="fr-FR"/>
        </w:rPr>
        <w:t xml:space="preserve"> </w:t>
      </w:r>
      <w:r>
        <w:rPr>
          <w:lang w:val="fr-FR"/>
        </w:rPr>
        <w:t>Hirvelä</w:t>
      </w:r>
      <w:r w:rsidR="006544C4" w:rsidRPr="00AD4F05">
        <w:rPr>
          <w:lang w:val="fr-FR"/>
        </w:rPr>
        <w:br/>
      </w:r>
      <w:r w:rsidR="006544C4" w:rsidRPr="00AD4F05">
        <w:rPr>
          <w:lang w:val="fr-FR"/>
        </w:rPr>
        <w:tab/>
      </w:r>
      <w:r>
        <w:rPr>
          <w:lang w:val="fr-FR"/>
        </w:rPr>
        <w:t>Greffière</w:t>
      </w:r>
      <w:r w:rsidR="006544C4" w:rsidRPr="00AD4F05">
        <w:rPr>
          <w:lang w:val="fr-FR"/>
        </w:rPr>
        <w:tab/>
      </w:r>
      <w:r w:rsidRPr="00AD4F05">
        <w:rPr>
          <w:lang w:val="fr-FR"/>
        </w:rPr>
        <w:t>Présidente</w:t>
      </w:r>
    </w:p>
    <w:sectPr w:rsidR="00234E8A" w:rsidRPr="00AD4F05" w:rsidSect="00AF7102">
      <w:headerReference w:type="even" r:id="rId11"/>
      <w:headerReference w:type="default" r:id="rId12"/>
      <w:headerReference w:type="first" r:id="rId13"/>
      <w:footerReference w:type="first" r:id="rId14"/>
      <w:footnotePr>
        <w:numRestart w:val="eachPage"/>
      </w:foot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A7A" w:rsidRDefault="00B61A7A" w:rsidP="006544C4">
      <w:r>
        <w:separator/>
      </w:r>
    </w:p>
  </w:endnote>
  <w:endnote w:type="continuationSeparator" w:id="0">
    <w:p w:rsidR="00B61A7A" w:rsidRDefault="00B61A7A" w:rsidP="00654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59A" w:rsidRPr="00150BFA" w:rsidRDefault="00E8459A" w:rsidP="0020718E">
    <w:pPr>
      <w:jc w:val="center"/>
    </w:pPr>
    <w:r>
      <w:rPr>
        <w:noProof/>
        <w:lang w:val="it-IT" w:eastAsia="it-IT"/>
      </w:rPr>
      <w:drawing>
        <wp:inline distT="0" distB="0" distL="0" distR="0" wp14:anchorId="6D4A9F40" wp14:editId="62CC51E9">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112D62" w:rsidRPr="00633A19" w:rsidRDefault="00B61A7A" w:rsidP="003146E4">
    <w:pPr>
      <w:jc w:val="cen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A7A" w:rsidRDefault="00B61A7A" w:rsidP="006544C4">
      <w:r>
        <w:separator/>
      </w:r>
    </w:p>
  </w:footnote>
  <w:footnote w:type="continuationSeparator" w:id="0">
    <w:p w:rsidR="00B61A7A" w:rsidRDefault="00B61A7A" w:rsidP="00654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D62" w:rsidRPr="000D527F" w:rsidRDefault="00E8459A" w:rsidP="003312A3">
    <w:pPr>
      <w:pStyle w:val="ECHRHeader"/>
      <w:rPr>
        <w:lang w:val="en-GB"/>
      </w:rPr>
    </w:pPr>
    <w:r>
      <w:rPr>
        <w:rStyle w:val="Numeropagina"/>
        <w:lang w:val="en-GB"/>
      </w:rPr>
      <w:fldChar w:fldCharType="begin"/>
    </w:r>
    <w:r>
      <w:rPr>
        <w:rStyle w:val="Numeropagina"/>
        <w:lang w:val="en-GB"/>
      </w:rPr>
      <w:instrText xml:space="preserve"> PAGE </w:instrText>
    </w:r>
    <w:r>
      <w:rPr>
        <w:rStyle w:val="Numeropagina"/>
        <w:lang w:val="en-GB"/>
      </w:rPr>
      <w:fldChar w:fldCharType="separate"/>
    </w:r>
    <w:r w:rsidR="0079182A">
      <w:rPr>
        <w:rStyle w:val="Numeropagina"/>
        <w:noProof/>
        <w:lang w:val="en-GB"/>
      </w:rPr>
      <w:t>2</w:t>
    </w:r>
    <w:r>
      <w:rPr>
        <w:rStyle w:val="Numeropagina"/>
        <w:lang w:val="en-GB"/>
      </w:rPr>
      <w:fldChar w:fldCharType="end"/>
    </w:r>
    <w:r w:rsidR="00334EC5" w:rsidRPr="000D527F">
      <w:rPr>
        <w:lang w:val="en-GB"/>
      </w:rPr>
      <w:tab/>
      <w:t xml:space="preserve">DÉCISION </w:t>
    </w:r>
    <w:r>
      <w:rPr>
        <w:lang w:val="en-GB"/>
      </w:rPr>
      <w:t>WIND TELECOMUNICAZIONI S.P.A. c. ITALIE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D62" w:rsidRPr="000D527F" w:rsidRDefault="00334EC5" w:rsidP="006544C4">
    <w:pPr>
      <w:pStyle w:val="ECHRHeader"/>
      <w:rPr>
        <w:lang w:val="en-GB"/>
      </w:rPr>
    </w:pPr>
    <w:r>
      <w:tab/>
    </w:r>
    <w:r w:rsidRPr="000D527F">
      <w:rPr>
        <w:lang w:val="en-GB"/>
      </w:rPr>
      <w:t xml:space="preserve">DÉCISION </w:t>
    </w:r>
    <w:r w:rsidR="00E8459A">
      <w:rPr>
        <w:lang w:val="en-GB"/>
      </w:rPr>
      <w:t>WIND TELECOMUNICAZIONI S.P.A. c. ITALIE</w:t>
    </w:r>
    <w:r w:rsidRPr="000D527F">
      <w:rPr>
        <w:lang w:val="en-GB"/>
      </w:rPr>
      <w:tab/>
    </w:r>
    <w:r w:rsidR="00E8459A">
      <w:rPr>
        <w:rStyle w:val="Numeropagina"/>
        <w:lang w:val="en-GB"/>
      </w:rPr>
      <w:fldChar w:fldCharType="begin"/>
    </w:r>
    <w:r w:rsidR="00E8459A">
      <w:rPr>
        <w:rStyle w:val="Numeropagina"/>
        <w:lang w:val="en-GB"/>
      </w:rPr>
      <w:instrText xml:space="preserve"> PAGE </w:instrText>
    </w:r>
    <w:r w:rsidR="00E8459A">
      <w:rPr>
        <w:rStyle w:val="Numeropagina"/>
        <w:lang w:val="en-GB"/>
      </w:rPr>
      <w:fldChar w:fldCharType="separate"/>
    </w:r>
    <w:r w:rsidR="0079182A">
      <w:rPr>
        <w:rStyle w:val="Numeropagina"/>
        <w:noProof/>
        <w:lang w:val="en-GB"/>
      </w:rPr>
      <w:t>9</w:t>
    </w:r>
    <w:r w:rsidR="00E8459A">
      <w:rPr>
        <w:rStyle w:val="Numeropagina"/>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59A" w:rsidRPr="00A45145" w:rsidRDefault="00E8459A" w:rsidP="00A45145">
    <w:pPr>
      <w:jc w:val="center"/>
    </w:pPr>
    <w:r>
      <w:rPr>
        <w:noProof/>
        <w:lang w:val="it-IT" w:eastAsia="it-IT"/>
      </w:rPr>
      <w:drawing>
        <wp:inline distT="0" distB="0" distL="0" distR="0" wp14:anchorId="577BC2E2" wp14:editId="41F04EF0">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112D62" w:rsidRDefault="00B61A7A" w:rsidP="003146E4">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26C5606"/>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B784B494"/>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52BEA742"/>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50CE4694"/>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BBB0CDAA"/>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D3FAB61E"/>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997A584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3A5A107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3DE83B68"/>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15E9F46"/>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590D1DC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26306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7CCD2930"/>
    <w:multiLevelType w:val="multilevel"/>
    <w:tmpl w:val="0409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7"/>
  </w:num>
  <w:num w:numId="2">
    <w:abstractNumId w:val="6"/>
  </w:num>
  <w:num w:numId="3">
    <w:abstractNumId w:val="10"/>
  </w:num>
  <w:num w:numId="4">
    <w:abstractNumId w:val="11"/>
  </w:num>
  <w:num w:numId="5">
    <w:abstractNumId w:val="13"/>
  </w:num>
  <w:num w:numId="6">
    <w:abstractNumId w:val="9"/>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AppNatAutre" w:val="0"/>
    <w:docVar w:name="DocVarPREMATURE" w:val="0"/>
    <w:docVar w:name="EMM" w:val="0"/>
    <w:docVar w:name="ETRANSMISSION" w:val="PAR VOIE ÉLECTRONIQUE UNIQUEMENT"/>
    <w:docVar w:name="L4_1Annex" w:val="0"/>
    <w:docVar w:name="L4_1Anonymity" w:val="0"/>
    <w:docVar w:name="NBEMMDOC" w:val="0"/>
    <w:docVar w:name="Plural" w:val="0"/>
    <w:docVar w:name="SignForeName" w:val="0"/>
  </w:docVars>
  <w:rsids>
    <w:rsidRoot w:val="00E8459A"/>
    <w:rsid w:val="000041F8"/>
    <w:rsid w:val="000042A8"/>
    <w:rsid w:val="00004308"/>
    <w:rsid w:val="00005BF0"/>
    <w:rsid w:val="00007154"/>
    <w:rsid w:val="000103AE"/>
    <w:rsid w:val="00011D69"/>
    <w:rsid w:val="00012AD3"/>
    <w:rsid w:val="00015C2D"/>
    <w:rsid w:val="00015F00"/>
    <w:rsid w:val="00022C1D"/>
    <w:rsid w:val="00034987"/>
    <w:rsid w:val="000602DF"/>
    <w:rsid w:val="00061B05"/>
    <w:rsid w:val="000632D5"/>
    <w:rsid w:val="000644EE"/>
    <w:rsid w:val="000925AD"/>
    <w:rsid w:val="000A24EB"/>
    <w:rsid w:val="000B6923"/>
    <w:rsid w:val="000C4516"/>
    <w:rsid w:val="000C5F3C"/>
    <w:rsid w:val="000C6DCC"/>
    <w:rsid w:val="000D47AA"/>
    <w:rsid w:val="000D721F"/>
    <w:rsid w:val="000E069B"/>
    <w:rsid w:val="000E0E82"/>
    <w:rsid w:val="000E1DC5"/>
    <w:rsid w:val="000E223F"/>
    <w:rsid w:val="000E7D45"/>
    <w:rsid w:val="000F7851"/>
    <w:rsid w:val="00104E23"/>
    <w:rsid w:val="00111B0C"/>
    <w:rsid w:val="00120D6C"/>
    <w:rsid w:val="001257EC"/>
    <w:rsid w:val="00133D33"/>
    <w:rsid w:val="00134D64"/>
    <w:rsid w:val="00135A30"/>
    <w:rsid w:val="0013612C"/>
    <w:rsid w:val="00137FF6"/>
    <w:rsid w:val="00141650"/>
    <w:rsid w:val="00162A12"/>
    <w:rsid w:val="00166530"/>
    <w:rsid w:val="0016678F"/>
    <w:rsid w:val="001832BD"/>
    <w:rsid w:val="001943B5"/>
    <w:rsid w:val="00195134"/>
    <w:rsid w:val="001A145B"/>
    <w:rsid w:val="001A674C"/>
    <w:rsid w:val="001B3B24"/>
    <w:rsid w:val="001C0F98"/>
    <w:rsid w:val="001C2A42"/>
    <w:rsid w:val="001D63ED"/>
    <w:rsid w:val="001D7348"/>
    <w:rsid w:val="001E035B"/>
    <w:rsid w:val="001E0961"/>
    <w:rsid w:val="001E3EAE"/>
    <w:rsid w:val="001E6F32"/>
    <w:rsid w:val="001F2145"/>
    <w:rsid w:val="001F6262"/>
    <w:rsid w:val="001F67B0"/>
    <w:rsid w:val="001F7B3D"/>
    <w:rsid w:val="00205F9F"/>
    <w:rsid w:val="00210338"/>
    <w:rsid w:val="002115FC"/>
    <w:rsid w:val="0021423C"/>
    <w:rsid w:val="00230D00"/>
    <w:rsid w:val="00231DF7"/>
    <w:rsid w:val="00231FD1"/>
    <w:rsid w:val="002339E0"/>
    <w:rsid w:val="00233CF8"/>
    <w:rsid w:val="00234E8A"/>
    <w:rsid w:val="0023575D"/>
    <w:rsid w:val="00237148"/>
    <w:rsid w:val="0024222D"/>
    <w:rsid w:val="00244B0E"/>
    <w:rsid w:val="00244F6C"/>
    <w:rsid w:val="002532C5"/>
    <w:rsid w:val="00260C03"/>
    <w:rsid w:val="0026540E"/>
    <w:rsid w:val="00275123"/>
    <w:rsid w:val="00282240"/>
    <w:rsid w:val="002948AD"/>
    <w:rsid w:val="002A01CC"/>
    <w:rsid w:val="002A61B1"/>
    <w:rsid w:val="002A663C"/>
    <w:rsid w:val="002B444B"/>
    <w:rsid w:val="002B5887"/>
    <w:rsid w:val="002C0E27"/>
    <w:rsid w:val="002C3040"/>
    <w:rsid w:val="002D022D"/>
    <w:rsid w:val="002D24BB"/>
    <w:rsid w:val="002F2AF7"/>
    <w:rsid w:val="002F7E1C"/>
    <w:rsid w:val="00301A75"/>
    <w:rsid w:val="00302F70"/>
    <w:rsid w:val="0030336F"/>
    <w:rsid w:val="0030375E"/>
    <w:rsid w:val="00312A30"/>
    <w:rsid w:val="00320F72"/>
    <w:rsid w:val="00321D95"/>
    <w:rsid w:val="0032463E"/>
    <w:rsid w:val="00326224"/>
    <w:rsid w:val="003312A3"/>
    <w:rsid w:val="00334EC5"/>
    <w:rsid w:val="00337EE4"/>
    <w:rsid w:val="00340FFD"/>
    <w:rsid w:val="003506B1"/>
    <w:rsid w:val="00356AC7"/>
    <w:rsid w:val="003609FA"/>
    <w:rsid w:val="003710C8"/>
    <w:rsid w:val="003750BE"/>
    <w:rsid w:val="00381AF0"/>
    <w:rsid w:val="00387B9D"/>
    <w:rsid w:val="0039055E"/>
    <w:rsid w:val="0039364F"/>
    <w:rsid w:val="00396686"/>
    <w:rsid w:val="0039778E"/>
    <w:rsid w:val="003B4941"/>
    <w:rsid w:val="003C5714"/>
    <w:rsid w:val="003C6B9F"/>
    <w:rsid w:val="003C6E2A"/>
    <w:rsid w:val="003D0299"/>
    <w:rsid w:val="003E6D80"/>
    <w:rsid w:val="003E747B"/>
    <w:rsid w:val="003F05FA"/>
    <w:rsid w:val="003F244A"/>
    <w:rsid w:val="003F30B8"/>
    <w:rsid w:val="003F4C45"/>
    <w:rsid w:val="003F5F7B"/>
    <w:rsid w:val="003F7D64"/>
    <w:rsid w:val="004047FE"/>
    <w:rsid w:val="00414300"/>
    <w:rsid w:val="00425C67"/>
    <w:rsid w:val="00427E7A"/>
    <w:rsid w:val="00436C49"/>
    <w:rsid w:val="00445366"/>
    <w:rsid w:val="00447F5B"/>
    <w:rsid w:val="00461DB0"/>
    <w:rsid w:val="00463926"/>
    <w:rsid w:val="00464C9A"/>
    <w:rsid w:val="00474F3D"/>
    <w:rsid w:val="00477E3A"/>
    <w:rsid w:val="00483E5F"/>
    <w:rsid w:val="00485FF9"/>
    <w:rsid w:val="004907F0"/>
    <w:rsid w:val="0049140B"/>
    <w:rsid w:val="004923A5"/>
    <w:rsid w:val="00496BFB"/>
    <w:rsid w:val="004A15C7"/>
    <w:rsid w:val="004B013B"/>
    <w:rsid w:val="004B112B"/>
    <w:rsid w:val="004C01E4"/>
    <w:rsid w:val="004C086C"/>
    <w:rsid w:val="004C1F56"/>
    <w:rsid w:val="004C27BC"/>
    <w:rsid w:val="004D15F3"/>
    <w:rsid w:val="004D5311"/>
    <w:rsid w:val="004D5DCC"/>
    <w:rsid w:val="004F10AF"/>
    <w:rsid w:val="004F11A4"/>
    <w:rsid w:val="004F2389"/>
    <w:rsid w:val="004F304D"/>
    <w:rsid w:val="004F61BE"/>
    <w:rsid w:val="004F66B1"/>
    <w:rsid w:val="00511C07"/>
    <w:rsid w:val="005173A6"/>
    <w:rsid w:val="00520BAA"/>
    <w:rsid w:val="00525208"/>
    <w:rsid w:val="005257A5"/>
    <w:rsid w:val="005264C0"/>
    <w:rsid w:val="00526A8A"/>
    <w:rsid w:val="00531DF2"/>
    <w:rsid w:val="005442EE"/>
    <w:rsid w:val="00547353"/>
    <w:rsid w:val="005474E7"/>
    <w:rsid w:val="005512A3"/>
    <w:rsid w:val="005578CE"/>
    <w:rsid w:val="00562781"/>
    <w:rsid w:val="0057271C"/>
    <w:rsid w:val="00572845"/>
    <w:rsid w:val="00592772"/>
    <w:rsid w:val="0059574A"/>
    <w:rsid w:val="005A1B9B"/>
    <w:rsid w:val="005A6751"/>
    <w:rsid w:val="005B092E"/>
    <w:rsid w:val="005B152C"/>
    <w:rsid w:val="005B1EE0"/>
    <w:rsid w:val="005B2B24"/>
    <w:rsid w:val="005B4425"/>
    <w:rsid w:val="005B4B94"/>
    <w:rsid w:val="005C3EE8"/>
    <w:rsid w:val="005D34F9"/>
    <w:rsid w:val="005D4190"/>
    <w:rsid w:val="005D67A3"/>
    <w:rsid w:val="005E2988"/>
    <w:rsid w:val="005E3085"/>
    <w:rsid w:val="005F51E1"/>
    <w:rsid w:val="00611C80"/>
    <w:rsid w:val="00620692"/>
    <w:rsid w:val="006242CA"/>
    <w:rsid w:val="00627507"/>
    <w:rsid w:val="00633717"/>
    <w:rsid w:val="006344E1"/>
    <w:rsid w:val="006544C4"/>
    <w:rsid w:val="006545C4"/>
    <w:rsid w:val="006562FA"/>
    <w:rsid w:val="00661971"/>
    <w:rsid w:val="00661CE8"/>
    <w:rsid w:val="006623D9"/>
    <w:rsid w:val="0066550C"/>
    <w:rsid w:val="006716F2"/>
    <w:rsid w:val="00675A85"/>
    <w:rsid w:val="00682BF2"/>
    <w:rsid w:val="006859CE"/>
    <w:rsid w:val="00691270"/>
    <w:rsid w:val="00694BA8"/>
    <w:rsid w:val="006A037C"/>
    <w:rsid w:val="006A36F4"/>
    <w:rsid w:val="006A406F"/>
    <w:rsid w:val="006A5D3A"/>
    <w:rsid w:val="006C23D4"/>
    <w:rsid w:val="006C7BB0"/>
    <w:rsid w:val="006D3237"/>
    <w:rsid w:val="006E2E37"/>
    <w:rsid w:val="006E3CF1"/>
    <w:rsid w:val="006E7E80"/>
    <w:rsid w:val="006F19B0"/>
    <w:rsid w:val="006F48CA"/>
    <w:rsid w:val="006F64DD"/>
    <w:rsid w:val="00715127"/>
    <w:rsid w:val="00715E8E"/>
    <w:rsid w:val="00723580"/>
    <w:rsid w:val="00723755"/>
    <w:rsid w:val="0073136C"/>
    <w:rsid w:val="00731F0F"/>
    <w:rsid w:val="00733250"/>
    <w:rsid w:val="00741404"/>
    <w:rsid w:val="007449E5"/>
    <w:rsid w:val="00747FF0"/>
    <w:rsid w:val="00764D4E"/>
    <w:rsid w:val="00765A1F"/>
    <w:rsid w:val="00775B6D"/>
    <w:rsid w:val="00776D68"/>
    <w:rsid w:val="007850EE"/>
    <w:rsid w:val="00785B95"/>
    <w:rsid w:val="00790E96"/>
    <w:rsid w:val="0079182A"/>
    <w:rsid w:val="00793366"/>
    <w:rsid w:val="007A716F"/>
    <w:rsid w:val="007B270A"/>
    <w:rsid w:val="007C0695"/>
    <w:rsid w:val="007C419A"/>
    <w:rsid w:val="007C4CC8"/>
    <w:rsid w:val="007C5426"/>
    <w:rsid w:val="007C5798"/>
    <w:rsid w:val="007D4832"/>
    <w:rsid w:val="007E21B2"/>
    <w:rsid w:val="007E2C4E"/>
    <w:rsid w:val="007F1905"/>
    <w:rsid w:val="00801300"/>
    <w:rsid w:val="00802C64"/>
    <w:rsid w:val="00805E52"/>
    <w:rsid w:val="008061D0"/>
    <w:rsid w:val="00810B38"/>
    <w:rsid w:val="008204C7"/>
    <w:rsid w:val="00820992"/>
    <w:rsid w:val="00823602"/>
    <w:rsid w:val="008255F5"/>
    <w:rsid w:val="0083014E"/>
    <w:rsid w:val="0083214A"/>
    <w:rsid w:val="00834220"/>
    <w:rsid w:val="00845723"/>
    <w:rsid w:val="00851EF9"/>
    <w:rsid w:val="008577FD"/>
    <w:rsid w:val="00860B03"/>
    <w:rsid w:val="0086497A"/>
    <w:rsid w:val="008713A1"/>
    <w:rsid w:val="008754AB"/>
    <w:rsid w:val="0088060C"/>
    <w:rsid w:val="00893576"/>
    <w:rsid w:val="00893E73"/>
    <w:rsid w:val="008A78C5"/>
    <w:rsid w:val="008B02DC"/>
    <w:rsid w:val="008B57CE"/>
    <w:rsid w:val="008C26DE"/>
    <w:rsid w:val="008C4AA6"/>
    <w:rsid w:val="008D2225"/>
    <w:rsid w:val="008D4752"/>
    <w:rsid w:val="008E271C"/>
    <w:rsid w:val="008E418E"/>
    <w:rsid w:val="008E5BC6"/>
    <w:rsid w:val="008E6A25"/>
    <w:rsid w:val="008F5193"/>
    <w:rsid w:val="009013A7"/>
    <w:rsid w:val="009017FB"/>
    <w:rsid w:val="009017FC"/>
    <w:rsid w:val="0090506B"/>
    <w:rsid w:val="009050C9"/>
    <w:rsid w:val="009066FC"/>
    <w:rsid w:val="009140A3"/>
    <w:rsid w:val="009144A2"/>
    <w:rsid w:val="0091510C"/>
    <w:rsid w:val="009259AC"/>
    <w:rsid w:val="00926F38"/>
    <w:rsid w:val="00934301"/>
    <w:rsid w:val="00934A97"/>
    <w:rsid w:val="00936CD1"/>
    <w:rsid w:val="00941747"/>
    <w:rsid w:val="00941EFB"/>
    <w:rsid w:val="00947AFB"/>
    <w:rsid w:val="00951D7D"/>
    <w:rsid w:val="009630C7"/>
    <w:rsid w:val="00972B55"/>
    <w:rsid w:val="009743B7"/>
    <w:rsid w:val="00977DA8"/>
    <w:rsid w:val="0098228B"/>
    <w:rsid w:val="009828DA"/>
    <w:rsid w:val="00985BAB"/>
    <w:rsid w:val="009B1B5F"/>
    <w:rsid w:val="009B6673"/>
    <w:rsid w:val="009C191B"/>
    <w:rsid w:val="009C2BD6"/>
    <w:rsid w:val="009E1F32"/>
    <w:rsid w:val="009E776C"/>
    <w:rsid w:val="00A1726E"/>
    <w:rsid w:val="00A204CF"/>
    <w:rsid w:val="00A23D49"/>
    <w:rsid w:val="00A27004"/>
    <w:rsid w:val="00A30C29"/>
    <w:rsid w:val="00A34DD6"/>
    <w:rsid w:val="00A36819"/>
    <w:rsid w:val="00A36989"/>
    <w:rsid w:val="00A43628"/>
    <w:rsid w:val="00A54192"/>
    <w:rsid w:val="00A6035E"/>
    <w:rsid w:val="00A6144C"/>
    <w:rsid w:val="00A66617"/>
    <w:rsid w:val="00A671F8"/>
    <w:rsid w:val="00A673A4"/>
    <w:rsid w:val="00A724AE"/>
    <w:rsid w:val="00A73329"/>
    <w:rsid w:val="00A82359"/>
    <w:rsid w:val="00A865D2"/>
    <w:rsid w:val="00A94C20"/>
    <w:rsid w:val="00AA227F"/>
    <w:rsid w:val="00AA3BC7"/>
    <w:rsid w:val="00AA754A"/>
    <w:rsid w:val="00AB099E"/>
    <w:rsid w:val="00AB4328"/>
    <w:rsid w:val="00AD4F05"/>
    <w:rsid w:val="00AE0A2E"/>
    <w:rsid w:val="00AE354C"/>
    <w:rsid w:val="00AF4B07"/>
    <w:rsid w:val="00AF6186"/>
    <w:rsid w:val="00AF7102"/>
    <w:rsid w:val="00AF7A3A"/>
    <w:rsid w:val="00AF7DC3"/>
    <w:rsid w:val="00B160DB"/>
    <w:rsid w:val="00B20836"/>
    <w:rsid w:val="00B235BB"/>
    <w:rsid w:val="00B27A44"/>
    <w:rsid w:val="00B30BBF"/>
    <w:rsid w:val="00B33C03"/>
    <w:rsid w:val="00B44E56"/>
    <w:rsid w:val="00B46543"/>
    <w:rsid w:val="00B47D33"/>
    <w:rsid w:val="00B52BE0"/>
    <w:rsid w:val="00B54133"/>
    <w:rsid w:val="00B61A7A"/>
    <w:rsid w:val="00B701ED"/>
    <w:rsid w:val="00B74CA0"/>
    <w:rsid w:val="00B8086C"/>
    <w:rsid w:val="00B861B4"/>
    <w:rsid w:val="00B86DFE"/>
    <w:rsid w:val="00B87FB1"/>
    <w:rsid w:val="00B90990"/>
    <w:rsid w:val="00B922FF"/>
    <w:rsid w:val="00B9281E"/>
    <w:rsid w:val="00B93925"/>
    <w:rsid w:val="00B95187"/>
    <w:rsid w:val="00BA2D55"/>
    <w:rsid w:val="00BA71B1"/>
    <w:rsid w:val="00BB0637"/>
    <w:rsid w:val="00BB345F"/>
    <w:rsid w:val="00BB68EA"/>
    <w:rsid w:val="00BC1C27"/>
    <w:rsid w:val="00BC6BBF"/>
    <w:rsid w:val="00BD1572"/>
    <w:rsid w:val="00BE14E3"/>
    <w:rsid w:val="00BE3774"/>
    <w:rsid w:val="00BE41E5"/>
    <w:rsid w:val="00BF4109"/>
    <w:rsid w:val="00BF4CC3"/>
    <w:rsid w:val="00C054C7"/>
    <w:rsid w:val="00C057B5"/>
    <w:rsid w:val="00C22687"/>
    <w:rsid w:val="00C32E4D"/>
    <w:rsid w:val="00C333A0"/>
    <w:rsid w:val="00C36408"/>
    <w:rsid w:val="00C36A81"/>
    <w:rsid w:val="00C41974"/>
    <w:rsid w:val="00C53F4A"/>
    <w:rsid w:val="00C54125"/>
    <w:rsid w:val="00C55B54"/>
    <w:rsid w:val="00C6098E"/>
    <w:rsid w:val="00C6152C"/>
    <w:rsid w:val="00C74810"/>
    <w:rsid w:val="00C90D68"/>
    <w:rsid w:val="00C939FE"/>
    <w:rsid w:val="00CA4BDA"/>
    <w:rsid w:val="00CB1F66"/>
    <w:rsid w:val="00CB2951"/>
    <w:rsid w:val="00CD282B"/>
    <w:rsid w:val="00CD4C35"/>
    <w:rsid w:val="00CD7369"/>
    <w:rsid w:val="00CE0B0E"/>
    <w:rsid w:val="00CE3831"/>
    <w:rsid w:val="00CE6ED9"/>
    <w:rsid w:val="00D00ABB"/>
    <w:rsid w:val="00D02EEC"/>
    <w:rsid w:val="00D03551"/>
    <w:rsid w:val="00D06A63"/>
    <w:rsid w:val="00D07E0E"/>
    <w:rsid w:val="00D11478"/>
    <w:rsid w:val="00D15ED0"/>
    <w:rsid w:val="00D21B3E"/>
    <w:rsid w:val="00D21FED"/>
    <w:rsid w:val="00D24251"/>
    <w:rsid w:val="00D343E2"/>
    <w:rsid w:val="00D361A2"/>
    <w:rsid w:val="00D44C2E"/>
    <w:rsid w:val="00D45414"/>
    <w:rsid w:val="00D566BD"/>
    <w:rsid w:val="00D57A4D"/>
    <w:rsid w:val="00D60AA7"/>
    <w:rsid w:val="00D6435F"/>
    <w:rsid w:val="00D75E28"/>
    <w:rsid w:val="00D772C2"/>
    <w:rsid w:val="00D8008E"/>
    <w:rsid w:val="00D82C45"/>
    <w:rsid w:val="00D908A8"/>
    <w:rsid w:val="00D977B6"/>
    <w:rsid w:val="00DA4A31"/>
    <w:rsid w:val="00DA7B04"/>
    <w:rsid w:val="00DB36C2"/>
    <w:rsid w:val="00DC169B"/>
    <w:rsid w:val="00DC2AB9"/>
    <w:rsid w:val="00DC63F0"/>
    <w:rsid w:val="00DD6EE5"/>
    <w:rsid w:val="00DE386C"/>
    <w:rsid w:val="00DE4D35"/>
    <w:rsid w:val="00DF098B"/>
    <w:rsid w:val="00DF1114"/>
    <w:rsid w:val="00DF11C4"/>
    <w:rsid w:val="00DF210C"/>
    <w:rsid w:val="00DF4B6A"/>
    <w:rsid w:val="00E02897"/>
    <w:rsid w:val="00E02C09"/>
    <w:rsid w:val="00E04D59"/>
    <w:rsid w:val="00E07DA1"/>
    <w:rsid w:val="00E123CB"/>
    <w:rsid w:val="00E20E13"/>
    <w:rsid w:val="00E21DBC"/>
    <w:rsid w:val="00E275D7"/>
    <w:rsid w:val="00E27DBE"/>
    <w:rsid w:val="00E32AB1"/>
    <w:rsid w:val="00E36C71"/>
    <w:rsid w:val="00E40404"/>
    <w:rsid w:val="00E459C6"/>
    <w:rsid w:val="00E47589"/>
    <w:rsid w:val="00E64915"/>
    <w:rsid w:val="00E661D4"/>
    <w:rsid w:val="00E70091"/>
    <w:rsid w:val="00E720F5"/>
    <w:rsid w:val="00E76D47"/>
    <w:rsid w:val="00E8459A"/>
    <w:rsid w:val="00E849F7"/>
    <w:rsid w:val="00E8668A"/>
    <w:rsid w:val="00E90302"/>
    <w:rsid w:val="00E97396"/>
    <w:rsid w:val="00EA185E"/>
    <w:rsid w:val="00EA592A"/>
    <w:rsid w:val="00EB14E4"/>
    <w:rsid w:val="00EB32A5"/>
    <w:rsid w:val="00EB34ED"/>
    <w:rsid w:val="00EB7BE0"/>
    <w:rsid w:val="00EC315E"/>
    <w:rsid w:val="00EC78A3"/>
    <w:rsid w:val="00ED077C"/>
    <w:rsid w:val="00ED1190"/>
    <w:rsid w:val="00ED6544"/>
    <w:rsid w:val="00EE0277"/>
    <w:rsid w:val="00EE3E00"/>
    <w:rsid w:val="00EE5DD2"/>
    <w:rsid w:val="00F00A79"/>
    <w:rsid w:val="00F00E86"/>
    <w:rsid w:val="00F07C1E"/>
    <w:rsid w:val="00F105DB"/>
    <w:rsid w:val="00F132BC"/>
    <w:rsid w:val="00F13D80"/>
    <w:rsid w:val="00F16AAA"/>
    <w:rsid w:val="00F21161"/>
    <w:rsid w:val="00F218EF"/>
    <w:rsid w:val="00F21BC7"/>
    <w:rsid w:val="00F266A2"/>
    <w:rsid w:val="00F32269"/>
    <w:rsid w:val="00F40988"/>
    <w:rsid w:val="00F56A6F"/>
    <w:rsid w:val="00F5709C"/>
    <w:rsid w:val="00F64EF1"/>
    <w:rsid w:val="00F8765F"/>
    <w:rsid w:val="00F90767"/>
    <w:rsid w:val="00FA685B"/>
    <w:rsid w:val="00FB0C01"/>
    <w:rsid w:val="00FC18F2"/>
    <w:rsid w:val="00FC39E5"/>
    <w:rsid w:val="00FC3A78"/>
    <w:rsid w:val="00FD1005"/>
    <w:rsid w:val="00FD6C75"/>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emiHidden/>
    <w:rsid w:val="00E8459A"/>
    <w:pPr>
      <w:jc w:val="both"/>
    </w:pPr>
    <w:rPr>
      <w:rFonts w:eastAsiaTheme="minorEastAsia"/>
      <w:sz w:val="24"/>
    </w:rPr>
  </w:style>
  <w:style w:type="paragraph" w:styleId="Titolo1">
    <w:name w:val="heading 1"/>
    <w:basedOn w:val="Normale"/>
    <w:next w:val="Normale"/>
    <w:link w:val="Titolo1Carattere"/>
    <w:uiPriority w:val="99"/>
    <w:semiHidden/>
    <w:rsid w:val="00E8459A"/>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E8459A"/>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E8459A"/>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E8459A"/>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E8459A"/>
    <w:pPr>
      <w:spacing w:before="200"/>
      <w:outlineLvl w:val="4"/>
    </w:pPr>
    <w:rPr>
      <w:rFonts w:asciiTheme="majorHAnsi" w:eastAsiaTheme="majorEastAsia" w:hAnsiTheme="majorHAnsi" w:cstheme="majorBidi"/>
      <w:b/>
      <w:bCs/>
      <w:color w:val="808080"/>
      <w:sz w:val="22"/>
    </w:rPr>
  </w:style>
  <w:style w:type="paragraph" w:styleId="Titolo6">
    <w:name w:val="heading 6"/>
    <w:basedOn w:val="Normale"/>
    <w:next w:val="Normale"/>
    <w:link w:val="Titolo6Carattere"/>
    <w:uiPriority w:val="99"/>
    <w:semiHidden/>
    <w:rsid w:val="00E8459A"/>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E8459A"/>
    <w:pPr>
      <w:outlineLvl w:val="6"/>
    </w:pPr>
    <w:rPr>
      <w:rFonts w:asciiTheme="majorHAnsi" w:eastAsiaTheme="majorEastAsia" w:hAnsiTheme="majorHAnsi" w:cstheme="majorBidi"/>
      <w:i/>
      <w:iCs/>
      <w:sz w:val="22"/>
      <w:lang w:bidi="en-US"/>
    </w:rPr>
  </w:style>
  <w:style w:type="paragraph" w:styleId="Titolo8">
    <w:name w:val="heading 8"/>
    <w:basedOn w:val="Normale"/>
    <w:next w:val="Normale"/>
    <w:link w:val="Titolo8Carattere"/>
    <w:uiPriority w:val="99"/>
    <w:semiHidden/>
    <w:qFormat/>
    <w:rsid w:val="00E8459A"/>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E8459A"/>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E8459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8459A"/>
    <w:rPr>
      <w:rFonts w:ascii="Tahoma" w:eastAsiaTheme="minorEastAsia" w:hAnsi="Tahoma" w:cs="Tahoma"/>
      <w:sz w:val="16"/>
      <w:szCs w:val="16"/>
    </w:rPr>
  </w:style>
  <w:style w:type="character" w:styleId="Titolodellibro">
    <w:name w:val="Book Title"/>
    <w:uiPriority w:val="99"/>
    <w:semiHidden/>
    <w:qFormat/>
    <w:rsid w:val="00E8459A"/>
    <w:rPr>
      <w:i/>
      <w:iCs/>
      <w:smallCaps/>
      <w:spacing w:val="5"/>
    </w:rPr>
  </w:style>
  <w:style w:type="paragraph" w:customStyle="1" w:styleId="ECHRHeader">
    <w:name w:val="ECHR_Header"/>
    <w:aliases w:val="Ju_Header"/>
    <w:basedOn w:val="Intestazione"/>
    <w:uiPriority w:val="4"/>
    <w:qFormat/>
    <w:rsid w:val="00E8459A"/>
    <w:pPr>
      <w:tabs>
        <w:tab w:val="clear" w:pos="4536"/>
        <w:tab w:val="clear" w:pos="9072"/>
        <w:tab w:val="center" w:pos="3686"/>
        <w:tab w:val="right" w:pos="7371"/>
      </w:tabs>
      <w:jc w:val="left"/>
    </w:pPr>
    <w:rPr>
      <w:sz w:val="18"/>
    </w:rPr>
  </w:style>
  <w:style w:type="paragraph" w:customStyle="1" w:styleId="ECHRFooter">
    <w:name w:val="ECHR_Footer"/>
    <w:aliases w:val="Footer_ECHR"/>
    <w:basedOn w:val="Pidipagina"/>
    <w:uiPriority w:val="57"/>
    <w:semiHidden/>
    <w:rsid w:val="00E8459A"/>
    <w:pPr>
      <w:jc w:val="left"/>
    </w:pPr>
    <w:rPr>
      <w:sz w:val="8"/>
    </w:rPr>
  </w:style>
  <w:style w:type="character" w:styleId="Enfasigrassetto">
    <w:name w:val="Strong"/>
    <w:uiPriority w:val="99"/>
    <w:semiHidden/>
    <w:qFormat/>
    <w:rsid w:val="00E8459A"/>
    <w:rPr>
      <w:b/>
      <w:bCs/>
    </w:rPr>
  </w:style>
  <w:style w:type="paragraph" w:styleId="Nessunaspaziatura">
    <w:name w:val="No Spacing"/>
    <w:basedOn w:val="Normale"/>
    <w:link w:val="NessunaspaziaturaCarattere"/>
    <w:semiHidden/>
    <w:qFormat/>
    <w:rsid w:val="00E8459A"/>
    <w:rPr>
      <w:sz w:val="22"/>
    </w:rPr>
  </w:style>
  <w:style w:type="character" w:customStyle="1" w:styleId="NessunaspaziaturaCarattere">
    <w:name w:val="Nessuna spaziatura Carattere"/>
    <w:basedOn w:val="Carpredefinitoparagrafo"/>
    <w:link w:val="Nessunaspaziatura"/>
    <w:semiHidden/>
    <w:rsid w:val="00E8459A"/>
    <w:rPr>
      <w:rFonts w:eastAsiaTheme="minorEastAsia"/>
    </w:rPr>
  </w:style>
  <w:style w:type="paragraph" w:customStyle="1" w:styleId="ECHRFooterLine">
    <w:name w:val="ECHR_Footer_Line"/>
    <w:aliases w:val="Footer_Line"/>
    <w:basedOn w:val="Normale"/>
    <w:next w:val="ECHRFooter"/>
    <w:uiPriority w:val="57"/>
    <w:semiHidden/>
    <w:rsid w:val="00E8459A"/>
    <w:pPr>
      <w:pBdr>
        <w:top w:val="single" w:sz="6" w:space="1" w:color="5F5F5F"/>
      </w:pBdr>
      <w:tabs>
        <w:tab w:val="center" w:pos="4536"/>
        <w:tab w:val="right" w:pos="9696"/>
      </w:tabs>
      <w:ind w:left="-680" w:right="-680"/>
      <w:jc w:val="left"/>
    </w:pPr>
    <w:rPr>
      <w:color w:val="5F5F5F"/>
    </w:rPr>
  </w:style>
  <w:style w:type="paragraph" w:customStyle="1" w:styleId="ECHRParaQuote">
    <w:name w:val="ECHR_Para_Quote"/>
    <w:aliases w:val="Ju_Quot,Para_Quote"/>
    <w:basedOn w:val="Normale"/>
    <w:uiPriority w:val="14"/>
    <w:qFormat/>
    <w:rsid w:val="00E8459A"/>
    <w:pPr>
      <w:spacing w:before="120" w:after="120"/>
      <w:ind w:left="425" w:firstLine="142"/>
    </w:pPr>
    <w:rPr>
      <w:sz w:val="20"/>
    </w:rPr>
  </w:style>
  <w:style w:type="paragraph" w:customStyle="1" w:styleId="JuAppQuestion">
    <w:name w:val="Ju_App_Question"/>
    <w:basedOn w:val="Normale"/>
    <w:uiPriority w:val="5"/>
    <w:qFormat/>
    <w:rsid w:val="00E8459A"/>
    <w:pPr>
      <w:numPr>
        <w:numId w:val="14"/>
      </w:numPr>
      <w:jc w:val="left"/>
    </w:pPr>
    <w:rPr>
      <w:b/>
    </w:rPr>
  </w:style>
  <w:style w:type="paragraph" w:customStyle="1" w:styleId="OpiPara">
    <w:name w:val="Opi_Para"/>
    <w:basedOn w:val="ECHRPara"/>
    <w:uiPriority w:val="46"/>
    <w:semiHidden/>
    <w:qFormat/>
    <w:rsid w:val="00E8459A"/>
  </w:style>
  <w:style w:type="paragraph" w:customStyle="1" w:styleId="JuParaSub">
    <w:name w:val="Ju_Para_Sub"/>
    <w:basedOn w:val="ECHRPara"/>
    <w:uiPriority w:val="13"/>
    <w:qFormat/>
    <w:rsid w:val="00E8459A"/>
    <w:pPr>
      <w:ind w:left="284"/>
    </w:pPr>
  </w:style>
  <w:style w:type="paragraph" w:customStyle="1" w:styleId="OpiParaSub">
    <w:name w:val="Opi_Para_Sub"/>
    <w:basedOn w:val="JuParaSub"/>
    <w:uiPriority w:val="47"/>
    <w:semiHidden/>
    <w:qFormat/>
    <w:rsid w:val="00E8459A"/>
  </w:style>
  <w:style w:type="paragraph" w:customStyle="1" w:styleId="ECHRTitleCentre3">
    <w:name w:val="ECHR_Title_Centre_3"/>
    <w:aliases w:val="Ju_H_Article"/>
    <w:basedOn w:val="Normale"/>
    <w:next w:val="ECHRParaQuote"/>
    <w:uiPriority w:val="27"/>
    <w:qFormat/>
    <w:rsid w:val="00E8459A"/>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semiHidden/>
    <w:qFormat/>
    <w:rsid w:val="00E8459A"/>
    <w:pPr>
      <w:keepNext/>
      <w:keepLines/>
      <w:spacing w:after="240"/>
      <w:jc w:val="center"/>
      <w:outlineLvl w:val="0"/>
    </w:pPr>
    <w:rPr>
      <w:rFonts w:asciiTheme="majorHAnsi" w:hAnsiTheme="majorHAnsi"/>
      <w:sz w:val="28"/>
    </w:rPr>
  </w:style>
  <w:style w:type="paragraph" w:customStyle="1" w:styleId="OpiQuot">
    <w:name w:val="Opi_Quot"/>
    <w:basedOn w:val="ECHRParaQuote"/>
    <w:uiPriority w:val="48"/>
    <w:semiHidden/>
    <w:qFormat/>
    <w:rsid w:val="00E8459A"/>
  </w:style>
  <w:style w:type="paragraph" w:customStyle="1" w:styleId="ECHRTitle1">
    <w:name w:val="ECHR_Title_1"/>
    <w:aliases w:val="Ju_H_Head"/>
    <w:basedOn w:val="Normale"/>
    <w:next w:val="ECHRPara"/>
    <w:uiPriority w:val="18"/>
    <w:qFormat/>
    <w:rsid w:val="00E8459A"/>
    <w:pPr>
      <w:keepNext/>
      <w:keepLines/>
      <w:spacing w:before="720" w:after="240"/>
      <w:outlineLvl w:val="0"/>
    </w:pPr>
    <w:rPr>
      <w:rFonts w:asciiTheme="majorHAnsi" w:hAnsiTheme="majorHAnsi"/>
      <w:sz w:val="28"/>
    </w:rPr>
  </w:style>
  <w:style w:type="paragraph" w:customStyle="1" w:styleId="OpiQuotSub">
    <w:name w:val="Opi_Quot_Sub"/>
    <w:basedOn w:val="JuQuotSub"/>
    <w:uiPriority w:val="49"/>
    <w:semiHidden/>
    <w:qFormat/>
    <w:rsid w:val="00E8459A"/>
  </w:style>
  <w:style w:type="paragraph" w:styleId="Titolo">
    <w:name w:val="Title"/>
    <w:basedOn w:val="Normale"/>
    <w:next w:val="Normale"/>
    <w:link w:val="TitoloCarattere"/>
    <w:uiPriority w:val="99"/>
    <w:semiHidden/>
    <w:qFormat/>
    <w:rsid w:val="00E8459A"/>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E8459A"/>
    <w:rPr>
      <w:rFonts w:asciiTheme="majorHAnsi" w:eastAsiaTheme="majorEastAsia" w:hAnsiTheme="majorHAnsi" w:cstheme="majorBidi"/>
      <w:spacing w:val="5"/>
      <w:sz w:val="52"/>
      <w:szCs w:val="52"/>
      <w:lang w:bidi="en-US"/>
    </w:rPr>
  </w:style>
  <w:style w:type="paragraph" w:customStyle="1" w:styleId="JuTitle">
    <w:name w:val="Ju_Title"/>
    <w:basedOn w:val="Normale"/>
    <w:next w:val="ECHRPara"/>
    <w:uiPriority w:val="3"/>
    <w:qFormat/>
    <w:rsid w:val="00E8459A"/>
    <w:pPr>
      <w:spacing w:before="720" w:after="240"/>
      <w:jc w:val="center"/>
      <w:outlineLvl w:val="0"/>
    </w:pPr>
    <w:rPr>
      <w:rFonts w:asciiTheme="majorHAnsi" w:hAnsiTheme="majorHAnsi"/>
      <w:b/>
      <w:caps/>
    </w:rPr>
  </w:style>
  <w:style w:type="paragraph" w:customStyle="1" w:styleId="JuCase">
    <w:name w:val="Ju_Case"/>
    <w:basedOn w:val="Normale"/>
    <w:next w:val="ECHRPara"/>
    <w:uiPriority w:val="10"/>
    <w:semiHidden/>
    <w:rsid w:val="00E8459A"/>
    <w:pPr>
      <w:ind w:firstLine="284"/>
    </w:pPr>
    <w:rPr>
      <w:b/>
    </w:rPr>
  </w:style>
  <w:style w:type="paragraph" w:customStyle="1" w:styleId="JuQuotSub">
    <w:name w:val="Ju_Quot_Sub"/>
    <w:basedOn w:val="ECHRParaQuote"/>
    <w:uiPriority w:val="15"/>
    <w:qFormat/>
    <w:rsid w:val="00E8459A"/>
    <w:pPr>
      <w:ind w:left="567"/>
    </w:pPr>
  </w:style>
  <w:style w:type="paragraph" w:customStyle="1" w:styleId="JuInitialled">
    <w:name w:val="Ju_Initialled"/>
    <w:basedOn w:val="Normale"/>
    <w:uiPriority w:val="31"/>
    <w:qFormat/>
    <w:rsid w:val="00E8459A"/>
    <w:pPr>
      <w:tabs>
        <w:tab w:val="center" w:pos="6407"/>
      </w:tabs>
      <w:spacing w:before="720"/>
      <w:jc w:val="right"/>
    </w:pPr>
  </w:style>
  <w:style w:type="paragraph" w:customStyle="1" w:styleId="OpiHA">
    <w:name w:val="Opi_H_A"/>
    <w:basedOn w:val="ECHRHeading1"/>
    <w:next w:val="OpiPara"/>
    <w:uiPriority w:val="41"/>
    <w:semiHidden/>
    <w:qFormat/>
    <w:rsid w:val="00E8459A"/>
    <w:pPr>
      <w:tabs>
        <w:tab w:val="clear" w:pos="357"/>
      </w:tabs>
      <w:outlineLvl w:val="1"/>
    </w:pPr>
    <w:rPr>
      <w:b/>
    </w:rPr>
  </w:style>
  <w:style w:type="paragraph" w:customStyle="1" w:styleId="ECHRHeading1">
    <w:name w:val="ECHR_Heading_1"/>
    <w:aliases w:val="Ju_H_I_Roman"/>
    <w:basedOn w:val="Titolo1"/>
    <w:next w:val="ECHRPara"/>
    <w:uiPriority w:val="19"/>
    <w:qFormat/>
    <w:rsid w:val="00E8459A"/>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Titolo2"/>
    <w:next w:val="ECHRPara"/>
    <w:uiPriority w:val="20"/>
    <w:qFormat/>
    <w:rsid w:val="00E8459A"/>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Titolo3"/>
    <w:next w:val="ECHRPara"/>
    <w:uiPriority w:val="21"/>
    <w:qFormat/>
    <w:rsid w:val="00E8459A"/>
    <w:pPr>
      <w:keepNext/>
      <w:keepLines/>
      <w:tabs>
        <w:tab w:val="left" w:pos="731"/>
      </w:tabs>
      <w:spacing w:before="240" w:after="120" w:line="240" w:lineRule="auto"/>
      <w:ind w:left="732" w:hanging="301"/>
    </w:pPr>
    <w:rPr>
      <w:b w:val="0"/>
      <w:i/>
      <w:color w:val="auto"/>
    </w:rPr>
  </w:style>
  <w:style w:type="paragraph" w:styleId="Intestazione">
    <w:name w:val="header"/>
    <w:basedOn w:val="Normale"/>
    <w:link w:val="IntestazioneCarattere"/>
    <w:uiPriority w:val="57"/>
    <w:semiHidden/>
    <w:rsid w:val="00E8459A"/>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E8459A"/>
    <w:rPr>
      <w:sz w:val="24"/>
    </w:rPr>
  </w:style>
  <w:style w:type="character" w:customStyle="1" w:styleId="Titolo1Carattere">
    <w:name w:val="Titolo 1 Carattere"/>
    <w:basedOn w:val="Carpredefinitoparagrafo"/>
    <w:link w:val="Titolo1"/>
    <w:uiPriority w:val="99"/>
    <w:semiHidden/>
    <w:rsid w:val="00E8459A"/>
    <w:rPr>
      <w:rFonts w:asciiTheme="majorHAnsi" w:eastAsiaTheme="majorEastAsia" w:hAnsiTheme="majorHAnsi" w:cstheme="majorBidi"/>
      <w:b/>
      <w:bCs/>
      <w:color w:val="333333"/>
      <w:sz w:val="28"/>
      <w:szCs w:val="28"/>
    </w:rPr>
  </w:style>
  <w:style w:type="paragraph" w:customStyle="1" w:styleId="ECHRHeading4">
    <w:name w:val="ECHR_Heading_4"/>
    <w:aliases w:val="Ju_H_a"/>
    <w:basedOn w:val="Titolo4"/>
    <w:next w:val="ECHRPara"/>
    <w:uiPriority w:val="22"/>
    <w:qFormat/>
    <w:rsid w:val="00E8459A"/>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Titolo5"/>
    <w:next w:val="ECHRPara"/>
    <w:uiPriority w:val="23"/>
    <w:qFormat/>
    <w:rsid w:val="00E8459A"/>
    <w:pPr>
      <w:keepNext/>
      <w:keepLines/>
      <w:tabs>
        <w:tab w:val="left" w:pos="1191"/>
      </w:tabs>
      <w:spacing w:before="240" w:after="120"/>
      <w:ind w:left="1190" w:hanging="357"/>
    </w:pPr>
    <w:rPr>
      <w:b w:val="0"/>
      <w:i/>
      <w:color w:val="auto"/>
      <w:sz w:val="20"/>
    </w:rPr>
  </w:style>
  <w:style w:type="character" w:customStyle="1" w:styleId="Titolo2Carattere">
    <w:name w:val="Titolo 2 Carattere"/>
    <w:basedOn w:val="Carpredefinitoparagrafo"/>
    <w:link w:val="Titolo2"/>
    <w:uiPriority w:val="99"/>
    <w:semiHidden/>
    <w:rsid w:val="00E8459A"/>
    <w:rPr>
      <w:rFonts w:asciiTheme="majorHAnsi" w:eastAsiaTheme="majorEastAsia" w:hAnsiTheme="majorHAnsi" w:cstheme="majorBidi"/>
      <w:b/>
      <w:bCs/>
      <w:color w:val="4D4D4D"/>
      <w:sz w:val="26"/>
      <w:szCs w:val="26"/>
    </w:rPr>
  </w:style>
  <w:style w:type="paragraph" w:customStyle="1" w:styleId="ECHRHeading6">
    <w:name w:val="ECHR_Heading_6"/>
    <w:aliases w:val="Ju_H_alpha"/>
    <w:basedOn w:val="Titolo6"/>
    <w:next w:val="ECHRPara"/>
    <w:uiPriority w:val="24"/>
    <w:qFormat/>
    <w:rsid w:val="00E8459A"/>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Titolo7"/>
    <w:next w:val="ECHRPara"/>
    <w:uiPriority w:val="25"/>
    <w:qFormat/>
    <w:rsid w:val="00E8459A"/>
    <w:pPr>
      <w:keepNext/>
      <w:keepLines/>
      <w:spacing w:before="240" w:after="120"/>
      <w:ind w:left="1236"/>
    </w:pPr>
    <w:rPr>
      <w:sz w:val="20"/>
    </w:rPr>
  </w:style>
  <w:style w:type="character" w:customStyle="1" w:styleId="Titolo3Carattere">
    <w:name w:val="Titolo 3 Carattere"/>
    <w:basedOn w:val="Carpredefinitoparagrafo"/>
    <w:link w:val="Titolo3"/>
    <w:uiPriority w:val="99"/>
    <w:semiHidden/>
    <w:rsid w:val="00E8459A"/>
    <w:rPr>
      <w:rFonts w:asciiTheme="majorHAnsi" w:eastAsiaTheme="majorEastAsia" w:hAnsiTheme="majorHAnsi" w:cstheme="majorBidi"/>
      <w:b/>
      <w:bCs/>
      <w:color w:val="5F5F5F"/>
      <w:sz w:val="24"/>
    </w:rPr>
  </w:style>
  <w:style w:type="paragraph" w:customStyle="1" w:styleId="JuParaLast">
    <w:name w:val="Ju_Para_Last"/>
    <w:basedOn w:val="Normale"/>
    <w:next w:val="ECHRPara"/>
    <w:uiPriority w:val="30"/>
    <w:qFormat/>
    <w:rsid w:val="00E8459A"/>
    <w:pPr>
      <w:keepNext/>
      <w:keepLines/>
      <w:spacing w:before="240"/>
      <w:ind w:firstLine="284"/>
    </w:pPr>
  </w:style>
  <w:style w:type="paragraph" w:customStyle="1" w:styleId="DecList">
    <w:name w:val="Dec_List"/>
    <w:basedOn w:val="Normale"/>
    <w:uiPriority w:val="9"/>
    <w:qFormat/>
    <w:rsid w:val="00E8459A"/>
    <w:pPr>
      <w:spacing w:before="240"/>
      <w:ind w:left="284"/>
    </w:pPr>
  </w:style>
  <w:style w:type="character" w:customStyle="1" w:styleId="Titolo4Carattere">
    <w:name w:val="Titolo 4 Carattere"/>
    <w:basedOn w:val="Carpredefinitoparagrafo"/>
    <w:link w:val="Titolo4"/>
    <w:uiPriority w:val="99"/>
    <w:semiHidden/>
    <w:rsid w:val="00E8459A"/>
    <w:rPr>
      <w:rFonts w:asciiTheme="majorHAnsi" w:eastAsiaTheme="majorEastAsia" w:hAnsiTheme="majorHAnsi" w:cstheme="majorBidi"/>
      <w:b/>
      <w:bCs/>
      <w:i/>
      <w:iCs/>
      <w:color w:val="777777"/>
      <w:sz w:val="24"/>
    </w:rPr>
  </w:style>
  <w:style w:type="paragraph" w:customStyle="1" w:styleId="ECHRDecisionBody">
    <w:name w:val="ECHR_Decision_Body"/>
    <w:aliases w:val="Ju_Judges"/>
    <w:basedOn w:val="Normale"/>
    <w:uiPriority w:val="11"/>
    <w:qFormat/>
    <w:rsid w:val="00E8459A"/>
    <w:pPr>
      <w:tabs>
        <w:tab w:val="left" w:pos="567"/>
        <w:tab w:val="left" w:pos="1134"/>
      </w:tabs>
      <w:jc w:val="left"/>
    </w:pPr>
  </w:style>
  <w:style w:type="character" w:customStyle="1" w:styleId="Titolo5Carattere">
    <w:name w:val="Titolo 5 Carattere"/>
    <w:basedOn w:val="Carpredefinitoparagrafo"/>
    <w:link w:val="Titolo5"/>
    <w:uiPriority w:val="99"/>
    <w:semiHidden/>
    <w:rsid w:val="00E8459A"/>
    <w:rPr>
      <w:rFonts w:asciiTheme="majorHAnsi" w:eastAsiaTheme="majorEastAsia" w:hAnsiTheme="majorHAnsi" w:cstheme="majorBidi"/>
      <w:b/>
      <w:bCs/>
      <w:color w:val="808080"/>
    </w:rPr>
  </w:style>
  <w:style w:type="character" w:customStyle="1" w:styleId="JUNAMES">
    <w:name w:val="JU_NAMES"/>
    <w:uiPriority w:val="17"/>
    <w:qFormat/>
    <w:rsid w:val="00E8459A"/>
    <w:rPr>
      <w:caps w:val="0"/>
      <w:smallCaps/>
    </w:rPr>
  </w:style>
  <w:style w:type="character" w:customStyle="1" w:styleId="JuITMark">
    <w:name w:val="Ju_ITMark"/>
    <w:basedOn w:val="Carpredefinitoparagrafo"/>
    <w:uiPriority w:val="38"/>
    <w:qFormat/>
    <w:rsid w:val="00E8459A"/>
    <w:rPr>
      <w:vanish w:val="0"/>
      <w:color w:val="auto"/>
      <w:sz w:val="14"/>
    </w:rPr>
  </w:style>
  <w:style w:type="character" w:styleId="Enfasidelicata">
    <w:name w:val="Subtle Emphasis"/>
    <w:uiPriority w:val="99"/>
    <w:semiHidden/>
    <w:qFormat/>
    <w:rsid w:val="00E8459A"/>
    <w:rPr>
      <w:i/>
      <w:iCs/>
    </w:rPr>
  </w:style>
  <w:style w:type="paragraph" w:customStyle="1" w:styleId="OpiTranslation">
    <w:name w:val="Opi_Translation"/>
    <w:basedOn w:val="Normale"/>
    <w:next w:val="OpiPara"/>
    <w:uiPriority w:val="40"/>
    <w:semiHidden/>
    <w:qFormat/>
    <w:rsid w:val="00E8459A"/>
    <w:pPr>
      <w:jc w:val="center"/>
      <w:outlineLvl w:val="0"/>
    </w:pPr>
    <w:rPr>
      <w:i/>
    </w:r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Court">
    <w:name w:val="Ju_Court"/>
    <w:basedOn w:val="Normale"/>
    <w:next w:val="Normale"/>
    <w:uiPriority w:val="16"/>
    <w:qFormat/>
    <w:rsid w:val="00E8459A"/>
    <w:pPr>
      <w:tabs>
        <w:tab w:val="left" w:pos="907"/>
        <w:tab w:val="left" w:pos="1701"/>
        <w:tab w:val="right" w:pos="7371"/>
      </w:tabs>
      <w:spacing w:before="240"/>
      <w:ind w:left="397" w:hanging="397"/>
      <w:jc w:val="left"/>
    </w:pPr>
    <w:rPr>
      <w:lang w:bidi="en-US"/>
    </w:rPr>
  </w:style>
  <w:style w:type="paragraph" w:customStyle="1" w:styleId="JuList">
    <w:name w:val="Ju_List"/>
    <w:basedOn w:val="Normale"/>
    <w:uiPriority w:val="28"/>
    <w:qFormat/>
    <w:rsid w:val="00E8459A"/>
    <w:pPr>
      <w:ind w:left="340" w:hanging="340"/>
    </w:pPr>
  </w:style>
  <w:style w:type="paragraph" w:customStyle="1" w:styleId="ECHRTitleCentre2">
    <w:name w:val="ECHR_Title_Centre_2"/>
    <w:aliases w:val="Dec_H_Case"/>
    <w:basedOn w:val="Normale"/>
    <w:next w:val="ECHRPara"/>
    <w:uiPriority w:val="8"/>
    <w:qFormat/>
    <w:rsid w:val="00E8459A"/>
    <w:pPr>
      <w:spacing w:after="240"/>
      <w:jc w:val="center"/>
      <w:outlineLvl w:val="0"/>
    </w:pPr>
    <w:rPr>
      <w:rFonts w:asciiTheme="majorHAnsi" w:hAnsiTheme="majorHAnsi"/>
    </w:rPr>
  </w:style>
  <w:style w:type="character" w:styleId="Enfasicorsivo">
    <w:name w:val="Emphasis"/>
    <w:uiPriority w:val="99"/>
    <w:semiHidden/>
    <w:qFormat/>
    <w:rsid w:val="00E8459A"/>
    <w:rPr>
      <w:b/>
      <w:bCs/>
      <w:i/>
      <w:iCs/>
      <w:spacing w:val="10"/>
      <w:bdr w:val="none" w:sz="0" w:space="0" w:color="auto"/>
      <w:shd w:val="clear" w:color="auto" w:fill="auto"/>
    </w:rPr>
  </w:style>
  <w:style w:type="paragraph" w:styleId="Pidipagina">
    <w:name w:val="footer"/>
    <w:basedOn w:val="Normale"/>
    <w:link w:val="PidipaginaCarattere"/>
    <w:uiPriority w:val="57"/>
    <w:semiHidden/>
    <w:rsid w:val="00E8459A"/>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E8459A"/>
    <w:rPr>
      <w:sz w:val="24"/>
    </w:rPr>
  </w:style>
  <w:style w:type="character" w:styleId="Rimandonotaapidipagina">
    <w:name w:val="footnote reference"/>
    <w:basedOn w:val="Carpredefinitoparagrafo"/>
    <w:uiPriority w:val="99"/>
    <w:semiHidden/>
    <w:rsid w:val="00E8459A"/>
    <w:rPr>
      <w:vertAlign w:val="superscript"/>
    </w:rPr>
  </w:style>
  <w:style w:type="paragraph" w:styleId="Testonotaapidipagina">
    <w:name w:val="footnote text"/>
    <w:basedOn w:val="Normale"/>
    <w:link w:val="TestonotaapidipaginaCarattere"/>
    <w:uiPriority w:val="99"/>
    <w:semiHidden/>
    <w:rsid w:val="00E8459A"/>
    <w:rPr>
      <w:sz w:val="20"/>
      <w:szCs w:val="20"/>
    </w:rPr>
  </w:style>
  <w:style w:type="character" w:customStyle="1" w:styleId="TestonotaapidipaginaCarattere">
    <w:name w:val="Testo nota a piè di pagina Carattere"/>
    <w:basedOn w:val="Carpredefinitoparagrafo"/>
    <w:link w:val="Testonotaapidipagina"/>
    <w:uiPriority w:val="99"/>
    <w:semiHidden/>
    <w:rsid w:val="00E8459A"/>
    <w:rPr>
      <w:rFonts w:eastAsiaTheme="minorEastAsia"/>
      <w:sz w:val="20"/>
      <w:szCs w:val="20"/>
    </w:rPr>
  </w:style>
  <w:style w:type="character" w:customStyle="1" w:styleId="Titolo6Carattere">
    <w:name w:val="Titolo 6 Carattere"/>
    <w:basedOn w:val="Carpredefinitoparagrafo"/>
    <w:link w:val="Titolo6"/>
    <w:uiPriority w:val="99"/>
    <w:semiHidden/>
    <w:rsid w:val="00E8459A"/>
    <w:rPr>
      <w:rFonts w:asciiTheme="majorHAnsi" w:eastAsiaTheme="majorEastAsia" w:hAnsiTheme="majorHAnsi" w:cstheme="majorBidi"/>
      <w:b/>
      <w:bCs/>
      <w:i/>
      <w:iCs/>
      <w:color w:val="7F7F7F" w:themeColor="text1" w:themeTint="80"/>
      <w:sz w:val="24"/>
      <w:lang w:bidi="en-US"/>
    </w:rPr>
  </w:style>
  <w:style w:type="character" w:customStyle="1" w:styleId="Titolo7Carattere">
    <w:name w:val="Titolo 7 Carattere"/>
    <w:basedOn w:val="Carpredefinitoparagrafo"/>
    <w:link w:val="Titolo7"/>
    <w:uiPriority w:val="99"/>
    <w:semiHidden/>
    <w:rsid w:val="00E8459A"/>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E8459A"/>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E8459A"/>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E8459A"/>
    <w:rPr>
      <w:color w:val="0072BC" w:themeColor="hyperlink"/>
      <w:u w:val="single"/>
    </w:rPr>
  </w:style>
  <w:style w:type="character" w:styleId="Enfasiintensa">
    <w:name w:val="Intense Emphasis"/>
    <w:uiPriority w:val="99"/>
    <w:semiHidden/>
    <w:qFormat/>
    <w:rsid w:val="00E8459A"/>
    <w:rPr>
      <w:b/>
      <w:bCs/>
    </w:rPr>
  </w:style>
  <w:style w:type="paragraph" w:styleId="Citazioneintensa">
    <w:name w:val="Intense Quote"/>
    <w:basedOn w:val="Normale"/>
    <w:next w:val="Normale"/>
    <w:link w:val="CitazioneintensaCarattere"/>
    <w:uiPriority w:val="99"/>
    <w:semiHidden/>
    <w:qFormat/>
    <w:rsid w:val="00E8459A"/>
    <w:pPr>
      <w:pBdr>
        <w:bottom w:val="single" w:sz="4" w:space="1" w:color="auto"/>
      </w:pBdr>
      <w:spacing w:before="200" w:after="280"/>
      <w:ind w:left="1008" w:right="1152"/>
    </w:pPr>
    <w:rPr>
      <w:b/>
      <w:bCs/>
      <w:i/>
      <w:iCs/>
      <w:sz w:val="22"/>
      <w:lang w:bidi="en-US"/>
    </w:rPr>
  </w:style>
  <w:style w:type="character" w:customStyle="1" w:styleId="CitazioneintensaCarattere">
    <w:name w:val="Citazione intensa Carattere"/>
    <w:basedOn w:val="Carpredefinitoparagrafo"/>
    <w:link w:val="Citazioneintensa"/>
    <w:uiPriority w:val="99"/>
    <w:semiHidden/>
    <w:rsid w:val="00E8459A"/>
    <w:rPr>
      <w:rFonts w:eastAsiaTheme="minorEastAsia"/>
      <w:b/>
      <w:bCs/>
      <w:i/>
      <w:iCs/>
      <w:lang w:bidi="en-US"/>
    </w:rPr>
  </w:style>
  <w:style w:type="character" w:styleId="Riferimentointenso">
    <w:name w:val="Intense Reference"/>
    <w:uiPriority w:val="99"/>
    <w:semiHidden/>
    <w:qFormat/>
    <w:rsid w:val="00E8459A"/>
    <w:rPr>
      <w:smallCaps/>
      <w:spacing w:val="5"/>
      <w:u w:val="single"/>
    </w:rPr>
  </w:style>
  <w:style w:type="paragraph" w:styleId="Paragrafoelenco">
    <w:name w:val="List Paragraph"/>
    <w:basedOn w:val="Normale"/>
    <w:uiPriority w:val="99"/>
    <w:semiHidden/>
    <w:qFormat/>
    <w:rsid w:val="00E8459A"/>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E8459A"/>
    <w:pPr>
      <w:spacing w:before="200"/>
      <w:ind w:left="360" w:right="360"/>
    </w:pPr>
    <w:rPr>
      <w:i/>
      <w:iCs/>
      <w:sz w:val="22"/>
      <w:lang w:bidi="en-US"/>
    </w:rPr>
  </w:style>
  <w:style w:type="character" w:customStyle="1" w:styleId="CitazioneCarattere">
    <w:name w:val="Citazione Carattere"/>
    <w:basedOn w:val="Carpredefinitoparagrafo"/>
    <w:link w:val="Citazione"/>
    <w:uiPriority w:val="99"/>
    <w:semiHidden/>
    <w:rsid w:val="00E8459A"/>
    <w:rPr>
      <w:rFonts w:eastAsiaTheme="minorEastAsia"/>
      <w:i/>
      <w:iCs/>
      <w:lang w:bidi="en-US"/>
    </w:rPr>
  </w:style>
  <w:style w:type="character" w:styleId="Riferimentodelicato">
    <w:name w:val="Subtle Reference"/>
    <w:uiPriority w:val="99"/>
    <w:semiHidden/>
    <w:qFormat/>
    <w:rsid w:val="00E8459A"/>
    <w:rPr>
      <w:smallCaps/>
    </w:rPr>
  </w:style>
  <w:style w:type="table" w:styleId="Grigliatabella">
    <w:name w:val="Table Grid"/>
    <w:basedOn w:val="Tabellanormale"/>
    <w:uiPriority w:val="59"/>
    <w:semiHidden/>
    <w:rsid w:val="00E8459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E8459A"/>
    <w:pPr>
      <w:spacing w:before="120" w:after="60"/>
      <w:ind w:left="340" w:right="340" w:hanging="340"/>
    </w:pPr>
    <w:rPr>
      <w:color w:val="0D0D0D" w:themeColor="text1" w:themeTint="F2"/>
    </w:rPr>
  </w:style>
  <w:style w:type="paragraph" w:styleId="Sommario2">
    <w:name w:val="toc 2"/>
    <w:basedOn w:val="Normale"/>
    <w:next w:val="Normale"/>
    <w:autoRedefine/>
    <w:uiPriority w:val="99"/>
    <w:semiHidden/>
    <w:rsid w:val="00E8459A"/>
    <w:pPr>
      <w:spacing w:after="60"/>
      <w:ind w:left="680" w:right="340" w:hanging="340"/>
    </w:pPr>
  </w:style>
  <w:style w:type="paragraph" w:styleId="Sommario3">
    <w:name w:val="toc 3"/>
    <w:basedOn w:val="Normale"/>
    <w:next w:val="Normale"/>
    <w:autoRedefine/>
    <w:uiPriority w:val="99"/>
    <w:semiHidden/>
    <w:rsid w:val="00E8459A"/>
    <w:pPr>
      <w:spacing w:after="60"/>
      <w:ind w:left="1020" w:right="340" w:hanging="340"/>
    </w:pPr>
  </w:style>
  <w:style w:type="paragraph" w:styleId="Sommario4">
    <w:name w:val="toc 4"/>
    <w:basedOn w:val="Normale"/>
    <w:next w:val="Normale"/>
    <w:autoRedefine/>
    <w:uiPriority w:val="99"/>
    <w:semiHidden/>
    <w:rsid w:val="00E8459A"/>
    <w:pPr>
      <w:tabs>
        <w:tab w:val="right" w:leader="dot" w:pos="9017"/>
      </w:tabs>
      <w:spacing w:after="60"/>
      <w:ind w:left="1361" w:right="340" w:hanging="340"/>
    </w:pPr>
  </w:style>
  <w:style w:type="paragraph" w:styleId="Sommario5">
    <w:name w:val="toc 5"/>
    <w:basedOn w:val="Normale"/>
    <w:next w:val="Normale"/>
    <w:autoRedefine/>
    <w:uiPriority w:val="99"/>
    <w:semiHidden/>
    <w:rsid w:val="00E8459A"/>
    <w:pPr>
      <w:spacing w:after="60"/>
      <w:ind w:left="1701" w:right="340" w:hanging="340"/>
    </w:pPr>
  </w:style>
  <w:style w:type="paragraph" w:styleId="Titolosommario">
    <w:name w:val="TOC Heading"/>
    <w:basedOn w:val="Titolo1"/>
    <w:next w:val="Normale"/>
    <w:uiPriority w:val="99"/>
    <w:semiHidden/>
    <w:qFormat/>
    <w:rsid w:val="00E8459A"/>
    <w:pPr>
      <w:outlineLvl w:val="9"/>
    </w:pPr>
    <w:rPr>
      <w:color w:val="474747" w:themeColor="accent3" w:themeShade="BF"/>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E8459A"/>
    <w:pPr>
      <w:spacing w:before="120"/>
    </w:pPr>
    <w:rPr>
      <w:rFonts w:asciiTheme="majorHAnsi" w:eastAsiaTheme="majorEastAsia" w:hAnsiTheme="majorHAnsi" w:cstheme="majorBidi"/>
      <w:b/>
      <w:bCs/>
      <w:color w:val="474747" w:themeColor="accent3" w:themeShade="BF"/>
      <w:szCs w:val="24"/>
    </w:rPr>
  </w:style>
  <w:style w:type="paragraph" w:customStyle="1" w:styleId="JuLista">
    <w:name w:val="Ju_List_a"/>
    <w:basedOn w:val="JuList"/>
    <w:uiPriority w:val="28"/>
    <w:qFormat/>
    <w:rsid w:val="00E8459A"/>
    <w:pPr>
      <w:ind w:left="346" w:firstLine="0"/>
    </w:pPr>
  </w:style>
  <w:style w:type="paragraph" w:customStyle="1" w:styleId="JuListi">
    <w:name w:val="Ju_List_i"/>
    <w:basedOn w:val="Normale"/>
    <w:next w:val="JuLista"/>
    <w:uiPriority w:val="28"/>
    <w:qFormat/>
    <w:rsid w:val="00E8459A"/>
    <w:pPr>
      <w:ind w:left="794"/>
    </w:pPr>
  </w:style>
  <w:style w:type="paragraph" w:styleId="Sottotitolo">
    <w:name w:val="Subtitle"/>
    <w:basedOn w:val="Normale"/>
    <w:next w:val="Normale"/>
    <w:link w:val="SottotitoloCarattere"/>
    <w:uiPriority w:val="99"/>
    <w:semiHidden/>
    <w:qFormat/>
    <w:rsid w:val="00E8459A"/>
    <w:pPr>
      <w:spacing w:after="600"/>
    </w:pPr>
    <w:rPr>
      <w:rFonts w:asciiTheme="majorHAnsi" w:eastAsiaTheme="majorEastAsia" w:hAnsiTheme="majorHAnsi" w:cstheme="majorBidi"/>
      <w:i/>
      <w:iCs/>
      <w:spacing w:val="13"/>
      <w:szCs w:val="24"/>
      <w:lang w:bidi="en-US"/>
    </w:rPr>
  </w:style>
  <w:style w:type="paragraph" w:customStyle="1" w:styleId="ECHRPara">
    <w:name w:val="ECHR_Para"/>
    <w:aliases w:val="Ju_Para"/>
    <w:basedOn w:val="Normale"/>
    <w:link w:val="ECHRParaChar"/>
    <w:uiPriority w:val="12"/>
    <w:qFormat/>
    <w:rsid w:val="00E8459A"/>
    <w:pPr>
      <w:ind w:firstLine="284"/>
    </w:pPr>
  </w:style>
  <w:style w:type="character" w:customStyle="1" w:styleId="SottotitoloCarattere">
    <w:name w:val="Sottotitolo Carattere"/>
    <w:basedOn w:val="Carpredefinitoparagrafo"/>
    <w:link w:val="Sottotitolo"/>
    <w:uiPriority w:val="99"/>
    <w:semiHidden/>
    <w:rsid w:val="00E8459A"/>
    <w:rPr>
      <w:rFonts w:asciiTheme="majorHAnsi" w:eastAsiaTheme="majorEastAsia" w:hAnsiTheme="majorHAnsi" w:cstheme="majorBidi"/>
      <w:i/>
      <w:iCs/>
      <w:spacing w:val="13"/>
      <w:sz w:val="24"/>
      <w:szCs w:val="24"/>
      <w:lang w:bidi="en-US"/>
    </w:rPr>
  </w:style>
  <w:style w:type="table" w:customStyle="1" w:styleId="ECHRTableSimpleBox">
    <w:name w:val="ECHR_Table_Simple_Box"/>
    <w:basedOn w:val="Tabellanormale"/>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111111">
    <w:name w:val="Outline List 2"/>
    <w:basedOn w:val="Nessunelenco"/>
    <w:uiPriority w:val="99"/>
    <w:semiHidden/>
    <w:unhideWhenUsed/>
    <w:rsid w:val="006544C4"/>
    <w:pPr>
      <w:numPr>
        <w:numId w:val="3"/>
      </w:numPr>
    </w:p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E8459A"/>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ai">
    <w:name w:val="Outline List 1"/>
    <w:basedOn w:val="Nessunelenco"/>
    <w:uiPriority w:val="99"/>
    <w:semiHidden/>
    <w:unhideWhenUsed/>
    <w:rsid w:val="006544C4"/>
    <w:pPr>
      <w:numPr>
        <w:numId w:val="4"/>
      </w:numPr>
    </w:pPr>
  </w:style>
  <w:style w:type="numbering" w:styleId="ArticoloSezione">
    <w:name w:val="Outline List 3"/>
    <w:basedOn w:val="Nessunelenco"/>
    <w:uiPriority w:val="99"/>
    <w:semiHidden/>
    <w:unhideWhenUsed/>
    <w:rsid w:val="006544C4"/>
    <w:pPr>
      <w:numPr>
        <w:numId w:val="5"/>
      </w:numPr>
    </w:p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ibliografia">
    <w:name w:val="Bibliography"/>
    <w:basedOn w:val="Normale"/>
    <w:next w:val="Normale"/>
    <w:uiPriority w:val="99"/>
    <w:semiHidden/>
    <w:rsid w:val="006544C4"/>
  </w:style>
  <w:style w:type="paragraph" w:styleId="Testodelblocco">
    <w:name w:val="Block Text"/>
    <w:basedOn w:val="Normale"/>
    <w:uiPriority w:val="99"/>
    <w:semiHidden/>
    <w:rsid w:val="006544C4"/>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testo">
    <w:name w:val="Body Text"/>
    <w:basedOn w:val="Normale"/>
    <w:link w:val="CorpotestoCarattere"/>
    <w:uiPriority w:val="99"/>
    <w:semiHidden/>
    <w:rsid w:val="006544C4"/>
    <w:pPr>
      <w:spacing w:after="120"/>
    </w:pPr>
  </w:style>
  <w:style w:type="table" w:customStyle="1" w:styleId="ECHRHeaderTableReduced">
    <w:name w:val="ECHR_Header_Table_Reduced"/>
    <w:basedOn w:val="Tabellanormale"/>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basedOn w:val="Carpredefinitoparagrafo"/>
    <w:uiPriority w:val="99"/>
    <w:semiHidden/>
    <w:rsid w:val="006544C4"/>
    <w:rPr>
      <w:rFonts w:ascii="Times New Roman" w:hAnsi="Times New Roman" w:cs="Times New Roman"/>
      <w:sz w:val="18"/>
    </w:rPr>
  </w:style>
  <w:style w:type="character" w:styleId="Rimandocommento">
    <w:name w:val="annotation reference"/>
    <w:basedOn w:val="Carpredefinitoparagrafo"/>
    <w:uiPriority w:val="99"/>
    <w:semiHidden/>
    <w:rsid w:val="006544C4"/>
    <w:rPr>
      <w:sz w:val="16"/>
    </w:rPr>
  </w:style>
  <w:style w:type="paragraph" w:styleId="Testocommento">
    <w:name w:val="annotation text"/>
    <w:basedOn w:val="Normale"/>
    <w:link w:val="TestocommentoCarattere"/>
    <w:semiHidden/>
    <w:rsid w:val="006544C4"/>
    <w:rPr>
      <w:sz w:val="20"/>
    </w:rPr>
  </w:style>
  <w:style w:type="character" w:customStyle="1" w:styleId="TestocommentoCarattere">
    <w:name w:val="Testo commento Carattere"/>
    <w:basedOn w:val="Carpredefinitoparagrafo"/>
    <w:link w:val="Testocommento"/>
    <w:semiHidden/>
    <w:rsid w:val="006544C4"/>
    <w:rPr>
      <w:rFonts w:eastAsiaTheme="minorEastAsia"/>
      <w:sz w:val="20"/>
    </w:rPr>
  </w:style>
  <w:style w:type="paragraph" w:customStyle="1" w:styleId="JuSigned">
    <w:name w:val="Ju_Signed"/>
    <w:basedOn w:val="Normale"/>
    <w:next w:val="JuParaLast"/>
    <w:uiPriority w:val="32"/>
    <w:qFormat/>
    <w:rsid w:val="00E8459A"/>
    <w:pPr>
      <w:tabs>
        <w:tab w:val="center" w:pos="851"/>
        <w:tab w:val="center" w:pos="6407"/>
      </w:tabs>
      <w:spacing w:before="720"/>
      <w:jc w:val="left"/>
    </w:pPr>
  </w:style>
  <w:style w:type="paragraph" w:customStyle="1" w:styleId="OpiH1">
    <w:name w:val="Opi_H_1"/>
    <w:basedOn w:val="ECHRHeading2"/>
    <w:uiPriority w:val="42"/>
    <w:semiHidden/>
    <w:qFormat/>
    <w:rsid w:val="00E8459A"/>
    <w:pPr>
      <w:ind w:left="635" w:hanging="357"/>
      <w:outlineLvl w:val="2"/>
    </w:pPr>
  </w:style>
  <w:style w:type="paragraph" w:customStyle="1" w:styleId="DecHTitle">
    <w:name w:val="Dec_H_Title"/>
    <w:basedOn w:val="ECHRTitleCentre1"/>
    <w:uiPriority w:val="7"/>
    <w:qFormat/>
    <w:rsid w:val="00E8459A"/>
  </w:style>
  <w:style w:type="paragraph" w:styleId="Puntoelenco2">
    <w:name w:val="List Bullet 2"/>
    <w:basedOn w:val="Normale"/>
    <w:uiPriority w:val="99"/>
    <w:semiHidden/>
    <w:rsid w:val="006544C4"/>
    <w:pPr>
      <w:numPr>
        <w:numId w:val="1"/>
      </w:numPr>
      <w:contextualSpacing/>
    </w:pPr>
  </w:style>
  <w:style w:type="paragraph" w:styleId="Puntoelenco3">
    <w:name w:val="List Bullet 3"/>
    <w:basedOn w:val="Normale"/>
    <w:uiPriority w:val="99"/>
    <w:semiHidden/>
    <w:rsid w:val="006544C4"/>
    <w:pPr>
      <w:numPr>
        <w:numId w:val="2"/>
      </w:numPr>
      <w:contextualSpacing/>
    </w:pPr>
  </w:style>
  <w:style w:type="character" w:customStyle="1" w:styleId="CorpotestoCarattere">
    <w:name w:val="Corpo testo Carattere"/>
    <w:basedOn w:val="Carpredefinitoparagrafo"/>
    <w:link w:val="Corpotesto"/>
    <w:uiPriority w:val="99"/>
    <w:semiHidden/>
    <w:rsid w:val="006544C4"/>
    <w:rPr>
      <w:rFonts w:eastAsiaTheme="minorEastAsia"/>
      <w:sz w:val="24"/>
    </w:rPr>
  </w:style>
  <w:style w:type="paragraph" w:styleId="Corpodeltesto2">
    <w:name w:val="Body Text 2"/>
    <w:basedOn w:val="Normale"/>
    <w:link w:val="Corpodeltesto2Carattere"/>
    <w:uiPriority w:val="99"/>
    <w:semiHidden/>
    <w:rsid w:val="006544C4"/>
    <w:pPr>
      <w:spacing w:after="120" w:line="480" w:lineRule="auto"/>
    </w:pPr>
  </w:style>
  <w:style w:type="character" w:customStyle="1" w:styleId="Corpodeltesto2Carattere">
    <w:name w:val="Corpo del testo 2 Carattere"/>
    <w:basedOn w:val="Carpredefinitoparagrafo"/>
    <w:link w:val="Corpodeltesto2"/>
    <w:uiPriority w:val="99"/>
    <w:semiHidden/>
    <w:rsid w:val="006544C4"/>
    <w:rPr>
      <w:rFonts w:eastAsiaTheme="minorEastAsia"/>
      <w:sz w:val="24"/>
    </w:rPr>
  </w:style>
  <w:style w:type="paragraph" w:styleId="Corpodeltesto3">
    <w:name w:val="Body Text 3"/>
    <w:basedOn w:val="Normale"/>
    <w:link w:val="Corpodeltesto3Carattere"/>
    <w:uiPriority w:val="99"/>
    <w:semiHidden/>
    <w:rsid w:val="006544C4"/>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6544C4"/>
    <w:rPr>
      <w:rFonts w:eastAsiaTheme="minorEastAsia"/>
      <w:sz w:val="16"/>
      <w:szCs w:val="16"/>
    </w:rPr>
  </w:style>
  <w:style w:type="paragraph" w:styleId="Primorientrocorpodeltesto">
    <w:name w:val="Body Text First Indent"/>
    <w:basedOn w:val="Corpotesto"/>
    <w:link w:val="PrimorientrocorpodeltestoCarattere"/>
    <w:uiPriority w:val="99"/>
    <w:semiHidden/>
    <w:rsid w:val="006544C4"/>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6544C4"/>
    <w:rPr>
      <w:rFonts w:eastAsiaTheme="minorEastAsia"/>
      <w:sz w:val="24"/>
    </w:rPr>
  </w:style>
  <w:style w:type="paragraph" w:styleId="Rientrocorpodeltesto">
    <w:name w:val="Body Text Indent"/>
    <w:basedOn w:val="Normale"/>
    <w:link w:val="RientrocorpodeltestoCarattere"/>
    <w:uiPriority w:val="99"/>
    <w:semiHidden/>
    <w:rsid w:val="006544C4"/>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6544C4"/>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6544C4"/>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6544C4"/>
    <w:rPr>
      <w:rFonts w:eastAsiaTheme="minorEastAsia"/>
      <w:sz w:val="24"/>
    </w:rPr>
  </w:style>
  <w:style w:type="paragraph" w:styleId="Rientrocorpodeltesto2">
    <w:name w:val="Body Text Indent 2"/>
    <w:basedOn w:val="Normale"/>
    <w:link w:val="Rientrocorpodeltesto2Carattere"/>
    <w:uiPriority w:val="99"/>
    <w:semiHidden/>
    <w:rsid w:val="006544C4"/>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6544C4"/>
    <w:rPr>
      <w:rFonts w:eastAsiaTheme="minorEastAsia"/>
      <w:sz w:val="24"/>
    </w:rPr>
  </w:style>
  <w:style w:type="paragraph" w:styleId="Rientrocorpodeltesto3">
    <w:name w:val="Body Text Indent 3"/>
    <w:basedOn w:val="Normale"/>
    <w:link w:val="Rientrocorpodeltesto3Carattere"/>
    <w:uiPriority w:val="99"/>
    <w:semiHidden/>
    <w:rsid w:val="006544C4"/>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6544C4"/>
    <w:rPr>
      <w:rFonts w:eastAsiaTheme="minorEastAsia"/>
      <w:sz w:val="16"/>
      <w:szCs w:val="16"/>
    </w:rPr>
  </w:style>
  <w:style w:type="paragraph" w:styleId="Didascalia">
    <w:name w:val="caption"/>
    <w:basedOn w:val="Normale"/>
    <w:next w:val="Normale"/>
    <w:uiPriority w:val="99"/>
    <w:semiHidden/>
    <w:qFormat/>
    <w:rsid w:val="006544C4"/>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6544C4"/>
    <w:pPr>
      <w:ind w:left="4252"/>
    </w:pPr>
  </w:style>
  <w:style w:type="character" w:customStyle="1" w:styleId="FormuladichiusuraCarattere">
    <w:name w:val="Formula di chiusura Carattere"/>
    <w:basedOn w:val="Carpredefinitoparagrafo"/>
    <w:link w:val="Formuladichiusura"/>
    <w:uiPriority w:val="99"/>
    <w:semiHidden/>
    <w:rsid w:val="006544C4"/>
    <w:rPr>
      <w:rFonts w:eastAsiaTheme="minorEastAsia"/>
      <w:sz w:val="24"/>
    </w:rPr>
  </w:style>
  <w:style w:type="table" w:styleId="Grigliaacolori">
    <w:name w:val="Colorful Grid"/>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6544C4"/>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6544C4"/>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6544C4"/>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6544C4"/>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6544C4"/>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6544C4"/>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6544C4"/>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6544C4"/>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6544C4"/>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6544C4"/>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6544C4"/>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6544C4"/>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6544C4"/>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6544C4"/>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9"/>
    <w:semiHidden/>
    <w:rsid w:val="006544C4"/>
    <w:rPr>
      <w:b/>
      <w:bCs/>
      <w:szCs w:val="20"/>
    </w:rPr>
  </w:style>
  <w:style w:type="character" w:customStyle="1" w:styleId="SoggettocommentoCarattere">
    <w:name w:val="Soggetto commento Carattere"/>
    <w:basedOn w:val="TestocommentoCarattere"/>
    <w:link w:val="Soggettocommento"/>
    <w:uiPriority w:val="99"/>
    <w:semiHidden/>
    <w:rsid w:val="006544C4"/>
    <w:rPr>
      <w:rFonts w:eastAsiaTheme="minorEastAsia"/>
      <w:b/>
      <w:bCs/>
      <w:sz w:val="20"/>
      <w:szCs w:val="20"/>
    </w:rPr>
  </w:style>
  <w:style w:type="table" w:styleId="Elencoscuro">
    <w:name w:val="Dark List"/>
    <w:basedOn w:val="Tabellanormale"/>
    <w:uiPriority w:val="70"/>
    <w:semiHidden/>
    <w:rsid w:val="006544C4"/>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6544C4"/>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6544C4"/>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6544C4"/>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6544C4"/>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6544C4"/>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6544C4"/>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6544C4"/>
  </w:style>
  <w:style w:type="character" w:customStyle="1" w:styleId="DataCarattere">
    <w:name w:val="Data Carattere"/>
    <w:basedOn w:val="Carpredefinitoparagrafo"/>
    <w:link w:val="Data"/>
    <w:uiPriority w:val="99"/>
    <w:semiHidden/>
    <w:rsid w:val="006544C4"/>
    <w:rPr>
      <w:rFonts w:eastAsiaTheme="minorEastAsia"/>
      <w:sz w:val="24"/>
    </w:rPr>
  </w:style>
  <w:style w:type="paragraph" w:styleId="Mappadocumento">
    <w:name w:val="Document Map"/>
    <w:basedOn w:val="Normale"/>
    <w:link w:val="MappadocumentoCarattere"/>
    <w:uiPriority w:val="99"/>
    <w:semiHidden/>
    <w:rsid w:val="006544C4"/>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6544C4"/>
    <w:rPr>
      <w:rFonts w:ascii="Tahoma" w:eastAsiaTheme="minorEastAsia" w:hAnsi="Tahoma" w:cs="Tahoma"/>
      <w:sz w:val="16"/>
      <w:szCs w:val="16"/>
    </w:rPr>
  </w:style>
  <w:style w:type="paragraph" w:styleId="Firmadipostaelettronica">
    <w:name w:val="E-mail Signature"/>
    <w:basedOn w:val="Normale"/>
    <w:link w:val="FirmadipostaelettronicaCarattere"/>
    <w:uiPriority w:val="99"/>
    <w:semiHidden/>
    <w:rsid w:val="006544C4"/>
  </w:style>
  <w:style w:type="character" w:customStyle="1" w:styleId="FirmadipostaelettronicaCarattere">
    <w:name w:val="Firma di posta elettronica Carattere"/>
    <w:basedOn w:val="Carpredefinitoparagrafo"/>
    <w:link w:val="Firmadipostaelettronica"/>
    <w:uiPriority w:val="99"/>
    <w:semiHidden/>
    <w:rsid w:val="006544C4"/>
    <w:rPr>
      <w:rFonts w:eastAsiaTheme="minorEastAsia"/>
      <w:sz w:val="24"/>
    </w:rPr>
  </w:style>
  <w:style w:type="character" w:styleId="Rimandonotadichiusura">
    <w:name w:val="endnote reference"/>
    <w:basedOn w:val="Carpredefinitoparagrafo"/>
    <w:uiPriority w:val="99"/>
    <w:semiHidden/>
    <w:rsid w:val="006544C4"/>
    <w:rPr>
      <w:vertAlign w:val="superscript"/>
    </w:rPr>
  </w:style>
  <w:style w:type="paragraph" w:styleId="Testonotadichiusura">
    <w:name w:val="endnote text"/>
    <w:basedOn w:val="Normale"/>
    <w:link w:val="TestonotadichiusuraCarattere"/>
    <w:uiPriority w:val="99"/>
    <w:semiHidden/>
    <w:rsid w:val="006544C4"/>
    <w:rPr>
      <w:sz w:val="20"/>
      <w:szCs w:val="20"/>
    </w:rPr>
  </w:style>
  <w:style w:type="character" w:customStyle="1" w:styleId="TestonotadichiusuraCarattere">
    <w:name w:val="Testo nota di chiusura Carattere"/>
    <w:basedOn w:val="Carpredefinitoparagrafo"/>
    <w:link w:val="Testonotadichiusura"/>
    <w:uiPriority w:val="99"/>
    <w:semiHidden/>
    <w:rsid w:val="006544C4"/>
    <w:rPr>
      <w:rFonts w:eastAsiaTheme="minorEastAsia"/>
      <w:sz w:val="20"/>
      <w:szCs w:val="20"/>
    </w:rPr>
  </w:style>
  <w:style w:type="paragraph" w:styleId="Indirizzodestinatario">
    <w:name w:val="envelope address"/>
    <w:basedOn w:val="Normale"/>
    <w:uiPriority w:val="99"/>
    <w:semiHidden/>
    <w:rsid w:val="006544C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Indirizzomittente">
    <w:name w:val="envelope return"/>
    <w:basedOn w:val="Normale"/>
    <w:uiPriority w:val="99"/>
    <w:semiHidden/>
    <w:rsid w:val="006544C4"/>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rsid w:val="006544C4"/>
    <w:rPr>
      <w:color w:val="7030A0" w:themeColor="followedHyperlink"/>
      <w:u w:val="single"/>
    </w:rPr>
  </w:style>
  <w:style w:type="character" w:styleId="AcronimoHTML">
    <w:name w:val="HTML Acronym"/>
    <w:basedOn w:val="Carpredefinitoparagrafo"/>
    <w:uiPriority w:val="99"/>
    <w:semiHidden/>
    <w:rsid w:val="006544C4"/>
  </w:style>
  <w:style w:type="paragraph" w:styleId="IndirizzoHTML">
    <w:name w:val="HTML Address"/>
    <w:basedOn w:val="Normale"/>
    <w:link w:val="IndirizzoHTMLCarattere"/>
    <w:uiPriority w:val="99"/>
    <w:semiHidden/>
    <w:rsid w:val="006544C4"/>
    <w:rPr>
      <w:i/>
      <w:iCs/>
    </w:rPr>
  </w:style>
  <w:style w:type="character" w:customStyle="1" w:styleId="IndirizzoHTMLCarattere">
    <w:name w:val="Indirizzo HTML Carattere"/>
    <w:basedOn w:val="Carpredefinitoparagrafo"/>
    <w:link w:val="IndirizzoHTML"/>
    <w:uiPriority w:val="99"/>
    <w:semiHidden/>
    <w:rsid w:val="006544C4"/>
    <w:rPr>
      <w:rFonts w:eastAsiaTheme="minorEastAsia"/>
      <w:i/>
      <w:iCs/>
      <w:sz w:val="24"/>
    </w:rPr>
  </w:style>
  <w:style w:type="character" w:styleId="CitazioneHTML">
    <w:name w:val="HTML Cite"/>
    <w:basedOn w:val="Carpredefinitoparagrafo"/>
    <w:uiPriority w:val="99"/>
    <w:semiHidden/>
    <w:rsid w:val="006544C4"/>
    <w:rPr>
      <w:i/>
      <w:iCs/>
    </w:rPr>
  </w:style>
  <w:style w:type="character" w:styleId="CodiceHTML">
    <w:name w:val="HTML Code"/>
    <w:basedOn w:val="Carpredefinitoparagrafo"/>
    <w:uiPriority w:val="99"/>
    <w:semiHidden/>
    <w:rsid w:val="006544C4"/>
    <w:rPr>
      <w:rFonts w:ascii="Consolas" w:hAnsi="Consolas" w:cs="Consolas"/>
      <w:sz w:val="20"/>
      <w:szCs w:val="20"/>
    </w:rPr>
  </w:style>
  <w:style w:type="character" w:styleId="DefinizioneHTML">
    <w:name w:val="HTML Definition"/>
    <w:basedOn w:val="Carpredefinitoparagrafo"/>
    <w:uiPriority w:val="99"/>
    <w:semiHidden/>
    <w:rsid w:val="006544C4"/>
    <w:rPr>
      <w:i/>
      <w:iCs/>
    </w:rPr>
  </w:style>
  <w:style w:type="character" w:styleId="TastieraHTML">
    <w:name w:val="HTML Keyboard"/>
    <w:basedOn w:val="Carpredefinitoparagrafo"/>
    <w:uiPriority w:val="99"/>
    <w:semiHidden/>
    <w:rsid w:val="006544C4"/>
    <w:rPr>
      <w:rFonts w:ascii="Consolas" w:hAnsi="Consolas" w:cs="Consolas"/>
      <w:sz w:val="20"/>
      <w:szCs w:val="20"/>
    </w:rPr>
  </w:style>
  <w:style w:type="paragraph" w:styleId="PreformattatoHTML">
    <w:name w:val="HTML Preformatted"/>
    <w:basedOn w:val="Normale"/>
    <w:link w:val="PreformattatoHTMLCarattere"/>
    <w:uiPriority w:val="99"/>
    <w:semiHidden/>
    <w:rsid w:val="006544C4"/>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6544C4"/>
    <w:rPr>
      <w:rFonts w:ascii="Consolas" w:eastAsiaTheme="minorEastAsia" w:hAnsi="Consolas" w:cs="Consolas"/>
      <w:sz w:val="20"/>
      <w:szCs w:val="20"/>
    </w:rPr>
  </w:style>
  <w:style w:type="character" w:styleId="EsempioHTML">
    <w:name w:val="HTML Sample"/>
    <w:basedOn w:val="Carpredefinitoparagrafo"/>
    <w:uiPriority w:val="99"/>
    <w:semiHidden/>
    <w:rsid w:val="006544C4"/>
    <w:rPr>
      <w:rFonts w:ascii="Consolas" w:hAnsi="Consolas" w:cs="Consolas"/>
      <w:sz w:val="24"/>
      <w:szCs w:val="24"/>
    </w:rPr>
  </w:style>
  <w:style w:type="character" w:styleId="MacchinadascrivereHTML">
    <w:name w:val="HTML Typewriter"/>
    <w:basedOn w:val="Carpredefinitoparagrafo"/>
    <w:uiPriority w:val="99"/>
    <w:semiHidden/>
    <w:rsid w:val="006544C4"/>
    <w:rPr>
      <w:rFonts w:ascii="Consolas" w:hAnsi="Consolas" w:cs="Consolas"/>
      <w:sz w:val="20"/>
      <w:szCs w:val="20"/>
    </w:rPr>
  </w:style>
  <w:style w:type="character" w:styleId="VariabileHTML">
    <w:name w:val="HTML Variable"/>
    <w:basedOn w:val="Carpredefinitoparagrafo"/>
    <w:uiPriority w:val="99"/>
    <w:semiHidden/>
    <w:rsid w:val="006544C4"/>
    <w:rPr>
      <w:i/>
      <w:iCs/>
    </w:rPr>
  </w:style>
  <w:style w:type="paragraph" w:styleId="Indice1">
    <w:name w:val="index 1"/>
    <w:basedOn w:val="Normale"/>
    <w:next w:val="Normale"/>
    <w:autoRedefine/>
    <w:uiPriority w:val="99"/>
    <w:semiHidden/>
    <w:rsid w:val="006544C4"/>
    <w:pPr>
      <w:ind w:left="240" w:hanging="240"/>
    </w:pPr>
  </w:style>
  <w:style w:type="paragraph" w:styleId="Indice2">
    <w:name w:val="index 2"/>
    <w:basedOn w:val="Normale"/>
    <w:next w:val="Normale"/>
    <w:autoRedefine/>
    <w:uiPriority w:val="99"/>
    <w:semiHidden/>
    <w:rsid w:val="006544C4"/>
    <w:pPr>
      <w:ind w:left="480" w:hanging="240"/>
    </w:pPr>
  </w:style>
  <w:style w:type="paragraph" w:styleId="Indice3">
    <w:name w:val="index 3"/>
    <w:basedOn w:val="Normale"/>
    <w:next w:val="Normale"/>
    <w:autoRedefine/>
    <w:uiPriority w:val="99"/>
    <w:semiHidden/>
    <w:rsid w:val="006544C4"/>
    <w:pPr>
      <w:ind w:left="720" w:hanging="240"/>
    </w:pPr>
  </w:style>
  <w:style w:type="paragraph" w:styleId="Indice4">
    <w:name w:val="index 4"/>
    <w:basedOn w:val="Normale"/>
    <w:next w:val="Normale"/>
    <w:autoRedefine/>
    <w:uiPriority w:val="99"/>
    <w:semiHidden/>
    <w:rsid w:val="006544C4"/>
    <w:pPr>
      <w:ind w:left="960" w:hanging="240"/>
    </w:pPr>
  </w:style>
  <w:style w:type="paragraph" w:styleId="Indice5">
    <w:name w:val="index 5"/>
    <w:basedOn w:val="Normale"/>
    <w:next w:val="Normale"/>
    <w:autoRedefine/>
    <w:uiPriority w:val="99"/>
    <w:semiHidden/>
    <w:rsid w:val="006544C4"/>
    <w:pPr>
      <w:ind w:left="1200" w:hanging="240"/>
    </w:pPr>
  </w:style>
  <w:style w:type="paragraph" w:styleId="Indice6">
    <w:name w:val="index 6"/>
    <w:basedOn w:val="Normale"/>
    <w:next w:val="Normale"/>
    <w:autoRedefine/>
    <w:uiPriority w:val="99"/>
    <w:semiHidden/>
    <w:rsid w:val="006544C4"/>
    <w:pPr>
      <w:ind w:left="1440" w:hanging="240"/>
    </w:pPr>
  </w:style>
  <w:style w:type="paragraph" w:styleId="Indice7">
    <w:name w:val="index 7"/>
    <w:basedOn w:val="Normale"/>
    <w:next w:val="Normale"/>
    <w:autoRedefine/>
    <w:uiPriority w:val="99"/>
    <w:semiHidden/>
    <w:rsid w:val="006544C4"/>
    <w:pPr>
      <w:ind w:left="1680" w:hanging="240"/>
    </w:pPr>
  </w:style>
  <w:style w:type="paragraph" w:styleId="Indice8">
    <w:name w:val="index 8"/>
    <w:basedOn w:val="Normale"/>
    <w:next w:val="Normale"/>
    <w:autoRedefine/>
    <w:uiPriority w:val="99"/>
    <w:semiHidden/>
    <w:rsid w:val="006544C4"/>
    <w:pPr>
      <w:ind w:left="1920" w:hanging="240"/>
    </w:pPr>
  </w:style>
  <w:style w:type="paragraph" w:styleId="Indice9">
    <w:name w:val="index 9"/>
    <w:basedOn w:val="Normale"/>
    <w:next w:val="Normale"/>
    <w:autoRedefine/>
    <w:uiPriority w:val="99"/>
    <w:semiHidden/>
    <w:rsid w:val="006544C4"/>
    <w:pPr>
      <w:ind w:left="2160" w:hanging="240"/>
    </w:pPr>
  </w:style>
  <w:style w:type="paragraph" w:styleId="Titoloindice">
    <w:name w:val="index heading"/>
    <w:basedOn w:val="Normale"/>
    <w:next w:val="Indice1"/>
    <w:uiPriority w:val="99"/>
    <w:semiHidden/>
    <w:rsid w:val="006544C4"/>
    <w:rPr>
      <w:rFonts w:asciiTheme="majorHAnsi" w:eastAsiaTheme="majorEastAsia" w:hAnsiTheme="majorHAnsi" w:cstheme="majorBidi"/>
      <w:b/>
      <w:bCs/>
    </w:rPr>
  </w:style>
  <w:style w:type="table" w:styleId="Grigliachiara">
    <w:name w:val="Light Grid"/>
    <w:basedOn w:val="Tabellanormale"/>
    <w:uiPriority w:val="62"/>
    <w:semiHidden/>
    <w:rsid w:val="006544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6544C4"/>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6544C4"/>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6544C4"/>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6544C4"/>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6544C4"/>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6544C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6544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6544C4"/>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6544C4"/>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6544C4"/>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6544C4"/>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6544C4"/>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6544C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6544C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6544C4"/>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6544C4"/>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6544C4"/>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6544C4"/>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6544C4"/>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6544C4"/>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6544C4"/>
  </w:style>
  <w:style w:type="paragraph" w:styleId="Elenco">
    <w:name w:val="List"/>
    <w:basedOn w:val="Normale"/>
    <w:uiPriority w:val="99"/>
    <w:semiHidden/>
    <w:rsid w:val="006544C4"/>
    <w:pPr>
      <w:ind w:left="283" w:hanging="283"/>
      <w:contextualSpacing/>
    </w:pPr>
  </w:style>
  <w:style w:type="paragraph" w:styleId="Elenco2">
    <w:name w:val="List 2"/>
    <w:basedOn w:val="Normale"/>
    <w:uiPriority w:val="99"/>
    <w:semiHidden/>
    <w:rsid w:val="006544C4"/>
    <w:pPr>
      <w:ind w:left="566" w:hanging="283"/>
      <w:contextualSpacing/>
    </w:pPr>
  </w:style>
  <w:style w:type="paragraph" w:styleId="Elenco3">
    <w:name w:val="List 3"/>
    <w:basedOn w:val="Normale"/>
    <w:uiPriority w:val="99"/>
    <w:semiHidden/>
    <w:rsid w:val="006544C4"/>
    <w:pPr>
      <w:ind w:left="849" w:hanging="283"/>
      <w:contextualSpacing/>
    </w:pPr>
  </w:style>
  <w:style w:type="paragraph" w:styleId="Elenco4">
    <w:name w:val="List 4"/>
    <w:basedOn w:val="Normale"/>
    <w:uiPriority w:val="99"/>
    <w:semiHidden/>
    <w:rsid w:val="006544C4"/>
    <w:pPr>
      <w:ind w:left="1132" w:hanging="283"/>
      <w:contextualSpacing/>
    </w:pPr>
  </w:style>
  <w:style w:type="paragraph" w:styleId="Elenco5">
    <w:name w:val="List 5"/>
    <w:basedOn w:val="Normale"/>
    <w:uiPriority w:val="99"/>
    <w:semiHidden/>
    <w:rsid w:val="006544C4"/>
    <w:pPr>
      <w:ind w:left="1415" w:hanging="283"/>
      <w:contextualSpacing/>
    </w:pPr>
  </w:style>
  <w:style w:type="paragraph" w:styleId="Puntoelenco">
    <w:name w:val="List Bullet"/>
    <w:basedOn w:val="Normale"/>
    <w:uiPriority w:val="99"/>
    <w:semiHidden/>
    <w:rsid w:val="006544C4"/>
    <w:pPr>
      <w:numPr>
        <w:numId w:val="6"/>
      </w:numPr>
      <w:contextualSpacing/>
    </w:pPr>
  </w:style>
  <w:style w:type="paragraph" w:styleId="Puntoelenco4">
    <w:name w:val="List Bullet 4"/>
    <w:basedOn w:val="Normale"/>
    <w:uiPriority w:val="99"/>
    <w:semiHidden/>
    <w:rsid w:val="006544C4"/>
    <w:pPr>
      <w:numPr>
        <w:numId w:val="7"/>
      </w:numPr>
      <w:contextualSpacing/>
    </w:pPr>
  </w:style>
  <w:style w:type="paragraph" w:styleId="Puntoelenco5">
    <w:name w:val="List Bullet 5"/>
    <w:basedOn w:val="Normale"/>
    <w:uiPriority w:val="99"/>
    <w:semiHidden/>
    <w:rsid w:val="006544C4"/>
    <w:pPr>
      <w:numPr>
        <w:numId w:val="8"/>
      </w:numPr>
      <w:contextualSpacing/>
    </w:pPr>
  </w:style>
  <w:style w:type="paragraph" w:styleId="Elencocontinua">
    <w:name w:val="List Continue"/>
    <w:basedOn w:val="Normale"/>
    <w:uiPriority w:val="99"/>
    <w:semiHidden/>
    <w:rsid w:val="006544C4"/>
    <w:pPr>
      <w:spacing w:after="120"/>
      <w:ind w:left="283"/>
      <w:contextualSpacing/>
    </w:pPr>
  </w:style>
  <w:style w:type="paragraph" w:styleId="Elencocontinua2">
    <w:name w:val="List Continue 2"/>
    <w:basedOn w:val="Normale"/>
    <w:uiPriority w:val="99"/>
    <w:semiHidden/>
    <w:rsid w:val="006544C4"/>
    <w:pPr>
      <w:spacing w:after="120"/>
      <w:ind w:left="566"/>
      <w:contextualSpacing/>
    </w:pPr>
  </w:style>
  <w:style w:type="paragraph" w:styleId="Elencocontinua3">
    <w:name w:val="List Continue 3"/>
    <w:basedOn w:val="Normale"/>
    <w:uiPriority w:val="99"/>
    <w:semiHidden/>
    <w:rsid w:val="006544C4"/>
    <w:pPr>
      <w:spacing w:after="120"/>
      <w:ind w:left="849"/>
      <w:contextualSpacing/>
    </w:pPr>
  </w:style>
  <w:style w:type="paragraph" w:styleId="Elencocontinua4">
    <w:name w:val="List Continue 4"/>
    <w:basedOn w:val="Normale"/>
    <w:uiPriority w:val="99"/>
    <w:semiHidden/>
    <w:rsid w:val="006544C4"/>
    <w:pPr>
      <w:spacing w:after="120"/>
      <w:ind w:left="1132"/>
      <w:contextualSpacing/>
    </w:pPr>
  </w:style>
  <w:style w:type="paragraph" w:styleId="Elencocontinua5">
    <w:name w:val="List Continue 5"/>
    <w:basedOn w:val="Normale"/>
    <w:uiPriority w:val="99"/>
    <w:semiHidden/>
    <w:rsid w:val="006544C4"/>
    <w:pPr>
      <w:spacing w:after="120"/>
      <w:ind w:left="1415"/>
      <w:contextualSpacing/>
    </w:pPr>
  </w:style>
  <w:style w:type="paragraph" w:styleId="Numeroelenco">
    <w:name w:val="List Number"/>
    <w:basedOn w:val="Normale"/>
    <w:uiPriority w:val="99"/>
    <w:semiHidden/>
    <w:rsid w:val="006544C4"/>
    <w:pPr>
      <w:numPr>
        <w:numId w:val="9"/>
      </w:numPr>
      <w:contextualSpacing/>
    </w:pPr>
  </w:style>
  <w:style w:type="paragraph" w:styleId="Numeroelenco2">
    <w:name w:val="List Number 2"/>
    <w:basedOn w:val="Normale"/>
    <w:uiPriority w:val="99"/>
    <w:semiHidden/>
    <w:rsid w:val="006544C4"/>
    <w:pPr>
      <w:numPr>
        <w:numId w:val="10"/>
      </w:numPr>
      <w:contextualSpacing/>
    </w:pPr>
  </w:style>
  <w:style w:type="paragraph" w:styleId="Numeroelenco3">
    <w:name w:val="List Number 3"/>
    <w:basedOn w:val="Normale"/>
    <w:uiPriority w:val="99"/>
    <w:semiHidden/>
    <w:rsid w:val="006544C4"/>
    <w:pPr>
      <w:numPr>
        <w:numId w:val="11"/>
      </w:numPr>
      <w:contextualSpacing/>
    </w:pPr>
  </w:style>
  <w:style w:type="paragraph" w:styleId="Numeroelenco4">
    <w:name w:val="List Number 4"/>
    <w:basedOn w:val="Normale"/>
    <w:uiPriority w:val="99"/>
    <w:semiHidden/>
    <w:rsid w:val="006544C4"/>
    <w:pPr>
      <w:numPr>
        <w:numId w:val="12"/>
      </w:numPr>
      <w:contextualSpacing/>
    </w:pPr>
  </w:style>
  <w:style w:type="paragraph" w:styleId="Numeroelenco5">
    <w:name w:val="List Number 5"/>
    <w:basedOn w:val="Normale"/>
    <w:semiHidden/>
    <w:rsid w:val="006544C4"/>
    <w:pPr>
      <w:numPr>
        <w:numId w:val="13"/>
      </w:numPr>
      <w:contextualSpacing/>
    </w:pPr>
  </w:style>
  <w:style w:type="paragraph" w:styleId="Testomacro">
    <w:name w:val="macro"/>
    <w:link w:val="TestomacroCarattere"/>
    <w:uiPriority w:val="99"/>
    <w:semiHidden/>
    <w:rsid w:val="006544C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6544C4"/>
    <w:rPr>
      <w:rFonts w:ascii="Consolas" w:eastAsiaTheme="minorEastAsia" w:hAnsi="Consolas" w:cs="Consolas"/>
      <w:sz w:val="20"/>
      <w:szCs w:val="20"/>
    </w:rPr>
  </w:style>
  <w:style w:type="table" w:styleId="Grigliamedia1">
    <w:name w:val="Medium Grid 1"/>
    <w:basedOn w:val="Tabellanormale"/>
    <w:uiPriority w:val="67"/>
    <w:semiHidden/>
    <w:rsid w:val="006544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6544C4"/>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6544C4"/>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6544C4"/>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6544C4"/>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6544C4"/>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6544C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6544C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6544C4"/>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6544C4"/>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6544C4"/>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6544C4"/>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6544C4"/>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6544C4"/>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6544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6544C4"/>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6544C4"/>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6544C4"/>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6544C4"/>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6544C4"/>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6544C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6544C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6544C4"/>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6544C4"/>
    <w:rPr>
      <w:rFonts w:ascii="Times New Roman" w:hAnsi="Times New Roman" w:cs="Times New Roman"/>
      <w:szCs w:val="24"/>
    </w:rPr>
  </w:style>
  <w:style w:type="paragraph" w:styleId="Rientronormale">
    <w:name w:val="Normal Indent"/>
    <w:basedOn w:val="Normale"/>
    <w:uiPriority w:val="99"/>
    <w:semiHidden/>
    <w:rsid w:val="006544C4"/>
    <w:pPr>
      <w:ind w:left="720"/>
    </w:pPr>
  </w:style>
  <w:style w:type="paragraph" w:styleId="Intestazionenota">
    <w:name w:val="Note Heading"/>
    <w:basedOn w:val="Normale"/>
    <w:next w:val="Normale"/>
    <w:link w:val="IntestazionenotaCarattere"/>
    <w:uiPriority w:val="99"/>
    <w:semiHidden/>
    <w:rsid w:val="006544C4"/>
  </w:style>
  <w:style w:type="character" w:customStyle="1" w:styleId="IntestazionenotaCarattere">
    <w:name w:val="Intestazione nota Carattere"/>
    <w:basedOn w:val="Carpredefinitoparagrafo"/>
    <w:link w:val="Intestazionenota"/>
    <w:uiPriority w:val="99"/>
    <w:semiHidden/>
    <w:rsid w:val="006544C4"/>
    <w:rPr>
      <w:rFonts w:eastAsiaTheme="minorEastAsia"/>
      <w:sz w:val="24"/>
    </w:rPr>
  </w:style>
  <w:style w:type="character" w:styleId="Testosegnaposto">
    <w:name w:val="Placeholder Text"/>
    <w:basedOn w:val="Carpredefinitoparagrafo"/>
    <w:uiPriority w:val="99"/>
    <w:semiHidden/>
    <w:rsid w:val="006544C4"/>
    <w:rPr>
      <w:color w:val="808080"/>
    </w:rPr>
  </w:style>
  <w:style w:type="paragraph" w:styleId="Testonormale">
    <w:name w:val="Plain Text"/>
    <w:basedOn w:val="Normale"/>
    <w:link w:val="TestonormaleCarattere"/>
    <w:uiPriority w:val="99"/>
    <w:semiHidden/>
    <w:rsid w:val="006544C4"/>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6544C4"/>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6544C4"/>
  </w:style>
  <w:style w:type="character" w:customStyle="1" w:styleId="FormuladiaperturaCarattere">
    <w:name w:val="Formula di apertura Carattere"/>
    <w:basedOn w:val="Carpredefinitoparagrafo"/>
    <w:link w:val="Formuladiapertura"/>
    <w:uiPriority w:val="99"/>
    <w:semiHidden/>
    <w:rsid w:val="006544C4"/>
    <w:rPr>
      <w:rFonts w:eastAsiaTheme="minorEastAsia"/>
      <w:sz w:val="24"/>
    </w:rPr>
  </w:style>
  <w:style w:type="paragraph" w:styleId="Firma">
    <w:name w:val="Signature"/>
    <w:basedOn w:val="Normale"/>
    <w:link w:val="FirmaCarattere"/>
    <w:uiPriority w:val="99"/>
    <w:semiHidden/>
    <w:rsid w:val="006544C4"/>
    <w:pPr>
      <w:ind w:left="4252"/>
    </w:pPr>
  </w:style>
  <w:style w:type="character" w:customStyle="1" w:styleId="FirmaCarattere">
    <w:name w:val="Firma Carattere"/>
    <w:basedOn w:val="Carpredefinitoparagrafo"/>
    <w:link w:val="Firma"/>
    <w:uiPriority w:val="99"/>
    <w:semiHidden/>
    <w:rsid w:val="006544C4"/>
    <w:rPr>
      <w:rFonts w:eastAsiaTheme="minorEastAsia"/>
      <w:sz w:val="24"/>
    </w:rPr>
  </w:style>
  <w:style w:type="table" w:styleId="Tabellaeffetti3D1">
    <w:name w:val="Table 3D effects 1"/>
    <w:basedOn w:val="Tabellanormale"/>
    <w:uiPriority w:val="99"/>
    <w:semiHidden/>
    <w:unhideWhenUsed/>
    <w:rsid w:val="006544C4"/>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6544C4"/>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6544C4"/>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6544C4"/>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6544C4"/>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6544C4"/>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6544C4"/>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6544C4"/>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6544C4"/>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6544C4"/>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6544C4"/>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6544C4"/>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6544C4"/>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6544C4"/>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6544C4"/>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6544C4"/>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6544C4"/>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6544C4"/>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6544C4"/>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6544C4"/>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6544C4"/>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6544C4"/>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6544C4"/>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6544C4"/>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6544C4"/>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6544C4"/>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6544C4"/>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6544C4"/>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6544C4"/>
    <w:pPr>
      <w:ind w:left="240" w:hanging="240"/>
    </w:pPr>
  </w:style>
  <w:style w:type="paragraph" w:styleId="Indicedellefigure">
    <w:name w:val="table of figures"/>
    <w:basedOn w:val="Normale"/>
    <w:next w:val="Normale"/>
    <w:uiPriority w:val="99"/>
    <w:semiHidden/>
    <w:rsid w:val="006544C4"/>
  </w:style>
  <w:style w:type="table" w:styleId="Tabellaprofessionale">
    <w:name w:val="Table Professional"/>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6544C4"/>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6544C4"/>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6544C4"/>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6544C4"/>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6544C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6544C4"/>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6544C4"/>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6544C4"/>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6544C4"/>
    <w:pPr>
      <w:spacing w:after="100"/>
      <w:ind w:left="1200"/>
    </w:pPr>
  </w:style>
  <w:style w:type="paragraph" w:styleId="Sommario7">
    <w:name w:val="toc 7"/>
    <w:basedOn w:val="Normale"/>
    <w:next w:val="Normale"/>
    <w:autoRedefine/>
    <w:uiPriority w:val="99"/>
    <w:semiHidden/>
    <w:rsid w:val="006544C4"/>
    <w:pPr>
      <w:spacing w:after="100"/>
      <w:ind w:left="1440"/>
    </w:pPr>
  </w:style>
  <w:style w:type="paragraph" w:styleId="Sommario8">
    <w:name w:val="toc 8"/>
    <w:basedOn w:val="Normale"/>
    <w:next w:val="Normale"/>
    <w:autoRedefine/>
    <w:uiPriority w:val="99"/>
    <w:semiHidden/>
    <w:rsid w:val="006544C4"/>
    <w:pPr>
      <w:spacing w:after="100"/>
      <w:ind w:left="1680"/>
    </w:pPr>
  </w:style>
  <w:style w:type="paragraph" w:styleId="Sommario9">
    <w:name w:val="toc 9"/>
    <w:basedOn w:val="Normale"/>
    <w:next w:val="Normale"/>
    <w:autoRedefine/>
    <w:uiPriority w:val="99"/>
    <w:semiHidden/>
    <w:rsid w:val="006544C4"/>
    <w:pPr>
      <w:spacing w:after="100"/>
      <w:ind w:left="1920"/>
    </w:pPr>
  </w:style>
  <w:style w:type="paragraph" w:customStyle="1" w:styleId="OpiHa0">
    <w:name w:val="Opi_H_a"/>
    <w:basedOn w:val="ECHRHeading3"/>
    <w:uiPriority w:val="43"/>
    <w:semiHidden/>
    <w:qFormat/>
    <w:rsid w:val="00E8459A"/>
    <w:pPr>
      <w:ind w:left="833" w:hanging="357"/>
      <w:outlineLvl w:val="3"/>
    </w:pPr>
    <w:rPr>
      <w:b/>
      <w:i w:val="0"/>
      <w:sz w:val="20"/>
    </w:rPr>
  </w:style>
  <w:style w:type="character" w:customStyle="1" w:styleId="ECHRParaChar">
    <w:name w:val="ECHR_Para Char"/>
    <w:aliases w:val="Ju_Para Char"/>
    <w:basedOn w:val="Carpredefinitoparagrafo"/>
    <w:link w:val="ECHRPara"/>
    <w:uiPriority w:val="12"/>
    <w:rsid w:val="00E8459A"/>
    <w:rPr>
      <w:rFonts w:eastAsiaTheme="minorEastAsia"/>
      <w:sz w:val="24"/>
    </w:rPr>
  </w:style>
  <w:style w:type="paragraph" w:customStyle="1" w:styleId="OpiHi">
    <w:name w:val="Opi_H_i"/>
    <w:basedOn w:val="ECHRHeading4"/>
    <w:uiPriority w:val="44"/>
    <w:semiHidden/>
    <w:qFormat/>
    <w:rsid w:val="00E8459A"/>
    <w:pPr>
      <w:ind w:left="1037" w:hanging="357"/>
      <w:outlineLvl w:val="4"/>
    </w:pPr>
    <w:rPr>
      <w:b w:val="0"/>
      <w:i/>
    </w:rPr>
  </w:style>
  <w:style w:type="paragraph" w:customStyle="1" w:styleId="DummyStyle">
    <w:name w:val="Dummy_Style"/>
    <w:basedOn w:val="Normale"/>
    <w:semiHidden/>
    <w:qFormat/>
    <w:rsid w:val="00E8459A"/>
    <w:rPr>
      <w:color w:val="00B05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0DDF3-C095-46A1-BFF0-D8E63441CC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6A7A0E-ACDB-44F3-9B00-605A99DD2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3864F74-AA11-4A11-897A-D798FA53441D}">
  <ds:schemaRefs>
    <ds:schemaRef ds:uri="http://schemas.microsoft.com/sharepoint/v3/contenttype/forms"/>
  </ds:schemaRefs>
</ds:datastoreItem>
</file>

<file path=customXml/itemProps4.xml><?xml version="1.0" encoding="utf-8"?>
<ds:datastoreItem xmlns:ds="http://schemas.openxmlformats.org/officeDocument/2006/customXml" ds:itemID="{18584102-6546-4CF6-BE6C-BA5C4DBF2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3521</Words>
  <Characters>20072</Characters>
  <Application>Microsoft Office Word</Application>
  <DocSecurity>0</DocSecurity>
  <Lines>167</Lines>
  <Paragraphs>47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Décision</vt:lpstr>
    </vt:vector>
  </TitlesOfParts>
  <Manager/>
  <Company/>
  <LinksUpToDate>false</LinksUpToDate>
  <CharactersWithSpaces>23546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2015-10-23T08:09:00Z</dcterms:created>
  <dcterms:modified xsi:type="dcterms:W3CDTF">2015-10-23T08:09:00Z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5159/14</vt:lpwstr>
  </property>
  <property fmtid="{D5CDD505-2E9C-101B-9397-08002B2CF9AE}" pid="4" name="CASEID">
    <vt:lpwstr>966894</vt:lpwstr>
  </property>
  <property fmtid="{D5CDD505-2E9C-101B-9397-08002B2CF9AE}" pid="5" name="OrigTemp">
    <vt:lpwstr>French\Documents\DF01 Decisions et Rapports\Reports automation IT ONLY\Décision.dotx</vt:lpwstr>
  </property>
  <property fmtid="{D5CDD505-2E9C-101B-9397-08002B2CF9AE}" pid="6" name="ContentTypeId">
    <vt:lpwstr>0x010100558EB02BDB9E204AB350EDD385B68E10</vt:lpwstr>
  </property>
</Properties>
</file>